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customXml/itemProps2.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endnotes.xml" ContentType="application/vnd.openxmlformats-officedocument.wordprocessingml.endnotes+xml"/>
  <Override PartName="/word/commentsIds.xml" ContentType="application/vnd.openxmlformats-officedocument.wordprocessingml.commentsIds+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docProps/core.xml" ContentType="application/vnd.openxmlformats-package.core-properties+xml"/>
  <Override PartName="/word/commentsExtensible.xml" ContentType="application/vnd.openxmlformats-officedocument.wordprocessingml.commentsExtensible+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028"/>
        <w:pBdr/>
        <w:spacing w:line="276" w:lineRule="auto"/>
        <w:ind w:right="0" w:firstLine="0" w:left="0"/>
        <w:jc w:val="center"/>
        <w:rPr>
          <w:rFonts w:ascii="Times New Roman" w:hAnsi="Times New Roman" w:cs="Times New Roman"/>
          <w:b/>
          <w:bCs w:val="0"/>
          <w:i w:val="0"/>
          <w:color w:val="e36c0a" w:themeColor="accent6" w:themeShade="BF"/>
          <w:sz w:val="25"/>
          <w:szCs w:val="25"/>
          <w:highlight w:val="none"/>
        </w:rPr>
      </w:pPr>
      <w:r>
        <w:rPr>
          <w:rFonts w:ascii="Times New Roman" w:hAnsi="Times New Roman" w:eastAsia="Times New Roman" w:cs="Times New Roman"/>
          <w:b/>
          <w:bCs w:val="0"/>
          <w:i w:val="0"/>
          <w:color w:val="e36c0a" w:themeColor="accent6" w:themeShade="BF"/>
          <w:sz w:val="25"/>
          <w:szCs w:val="25"/>
        </w:rPr>
      </w:r>
      <w:r>
        <w:rPr>
          <w:rFonts w:ascii="Times New Roman" w:hAnsi="Times New Roman" w:cs="Times New Roman"/>
          <w:b/>
          <w:bCs w:val="0"/>
          <w:i w:val="0"/>
          <w:color w:val="e36c0a" w:themeColor="accent6" w:themeShade="BF"/>
          <w:sz w:val="25"/>
          <w:szCs w:val="25"/>
          <w:highlight w:val="none"/>
        </w:rPr>
      </w:r>
      <w:r>
        <w:rPr>
          <w:rFonts w:ascii="Times New Roman" w:hAnsi="Times New Roman" w:cs="Times New Roman"/>
          <w:b/>
          <w:bCs w:val="0"/>
          <w:i w:val="0"/>
          <w:color w:val="e36c0a" w:themeColor="accent6" w:themeShade="BF"/>
          <w:sz w:val="25"/>
          <w:szCs w:val="25"/>
          <w:highlight w:val="none"/>
        </w:rPr>
      </w:r>
    </w:p>
    <w:p>
      <w:pPr>
        <w:pStyle w:val="1028"/>
        <w:pBdr/>
        <w:spacing w:line="276" w:lineRule="auto"/>
        <w:ind w:right="0" w:firstLine="0" w:left="0"/>
        <w:jc w:val="center"/>
        <w:rPr>
          <w:rFonts w:ascii="Times New Roman" w:hAnsi="Times New Roman" w:cs="Times New Roman"/>
          <w:b/>
          <w:bCs w:val="0"/>
          <w:i w:val="0"/>
          <w:color w:val="e46c0a" w:themeColor="accent6" w:themeShade="BF"/>
          <w:sz w:val="28"/>
          <w:szCs w:val="28"/>
          <w:highlight w:val="none"/>
        </w:rPr>
      </w:pPr>
      <w:r>
        <w:rPr>
          <w:rFonts w:ascii="Times New Roman" w:hAnsi="Times New Roman" w:eastAsia="Times New Roman" w:cs="Times New Roman"/>
          <w:b/>
          <w:bCs/>
          <w:i w:val="0"/>
          <w:iCs w:val="0"/>
          <w:color w:val="e46c0a" w:themeColor="accent6" w:themeShade="BF"/>
          <w:sz w:val="28"/>
          <w:szCs w:val="28"/>
        </w:rPr>
        <w:t xml:space="preserve">ATA DE REGISTRO DE PREÇOS N.º 004/2026</w:t>
      </w:r>
      <w:r>
        <w:rPr>
          <w:rFonts w:ascii="Times New Roman" w:hAnsi="Times New Roman" w:cs="Times New Roman"/>
          <w:b/>
          <w:bCs w:val="0"/>
          <w:i w:val="0"/>
          <w:color w:val="e46c0a" w:themeColor="accent6" w:themeShade="BF"/>
          <w:sz w:val="28"/>
          <w:szCs w:val="28"/>
          <w:highlight w:val="none"/>
        </w:rPr>
      </w:r>
      <w:r>
        <w:rPr>
          <w:rFonts w:ascii="Times New Roman" w:hAnsi="Times New Roman" w:cs="Times New Roman"/>
          <w:b/>
          <w:bCs w:val="0"/>
          <w:i w:val="0"/>
          <w:color w:val="e46c0a" w:themeColor="accent6" w:themeShade="BF"/>
          <w:sz w:val="28"/>
          <w:szCs w:val="28"/>
          <w:highlight w:val="none"/>
        </w:rPr>
      </w:r>
    </w:p>
    <w:p>
      <w:pPr>
        <w:pStyle w:val="1028"/>
        <w:pBdr/>
        <w:spacing w:line="276" w:lineRule="auto"/>
        <w:ind w:right="0" w:firstLine="0" w:left="0"/>
        <w:jc w:val="center"/>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jc w:val="center"/>
        <w:rPr>
          <w:rFonts w:ascii="Times New Roman" w:hAnsi="Times New Roman" w:cs="Times New Roman"/>
          <w:bCs w:val="0"/>
          <w:i w:val="0"/>
          <w:sz w:val="25"/>
          <w:szCs w:val="25"/>
          <w:highlight w:val="none"/>
        </w:rPr>
      </w:pPr>
      <w:r>
        <w:rPr>
          <w:rFonts w:ascii="Times New Roman" w:hAnsi="Times New Roman" w:eastAsia="Times New Roman" w:cs="Times New Roman"/>
          <w:b/>
          <w:bCs/>
          <w:i w:val="0"/>
          <w:iCs w:val="0"/>
          <w:sz w:val="25"/>
          <w:szCs w:val="25"/>
        </w:rPr>
        <w:t xml:space="preserve">CONSÓRCIO INTERMUNICIPAL DE SAÚDE DA REDE DE URGÊNCIA CENTRO SUL –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jc w:val="center"/>
        <w:rPr>
          <w:rFonts w:ascii="Times New Roman" w:hAnsi="Times New Roman" w:cs="Times New Roman"/>
          <w:bCs w:val="0"/>
          <w:i w:val="0"/>
          <w:sz w:val="25"/>
          <w:szCs w:val="25"/>
          <w:highlight w:val="none"/>
        </w:rPr>
      </w:pPr>
      <w:r>
        <w:rPr>
          <w:rFonts w:ascii="Times New Roman" w:hAnsi="Times New Roman" w:eastAsia="Times New Roman" w:cs="Times New Roman"/>
          <w:b/>
          <w:bCs/>
          <w:i w:val="0"/>
          <w:iCs w:val="0"/>
          <w:sz w:val="25"/>
          <w:szCs w:val="25"/>
        </w:rPr>
        <w:t xml:space="preserve">CISRU CENTRO SUL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jc w:val="center"/>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rPr>
          <w:rFonts w:ascii="Times New Roman" w:hAnsi="Times New Roman" w:cs="Times New Roman"/>
          <w:bCs w:val="0"/>
          <w:i w:val="0"/>
          <w:sz w:val="25"/>
          <w:szCs w:val="25"/>
          <w:highlight w:val="none"/>
        </w:rPr>
      </w:pPr>
      <w:r>
        <w:rPr>
          <w:rFonts w:ascii="Times New Roman" w:hAnsi="Times New Roman" w:eastAsia="Times New Roman" w:cs="Times New Roman"/>
          <w:b/>
          <w:bCs/>
          <w:i w:val="0"/>
          <w:iCs w:val="0"/>
          <w:sz w:val="25"/>
          <w:szCs w:val="25"/>
        </w:rPr>
        <w:t xml:space="preserve">PROCESSO LICITATÓRIO N.º 018/2026</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rPr>
          <w:rFonts w:ascii="Times New Roman" w:hAnsi="Times New Roman" w:cs="Times New Roman"/>
          <w:bCs w:val="0"/>
          <w:i w:val="0"/>
          <w:sz w:val="25"/>
          <w:szCs w:val="25"/>
          <w:highlight w:val="none"/>
        </w:rPr>
      </w:pPr>
      <w:r>
        <w:rPr>
          <w:rFonts w:ascii="Times New Roman" w:hAnsi="Times New Roman" w:eastAsia="Times New Roman" w:cs="Times New Roman"/>
          <w:b/>
          <w:bCs/>
          <w:i w:val="0"/>
          <w:iCs w:val="0"/>
          <w:sz w:val="25"/>
          <w:szCs w:val="25"/>
        </w:rPr>
        <w:t xml:space="preserve">PREGÃO ELETRÔNICO N.º 008/2026</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spacing w:line="276" w:lineRule="auto"/>
        <w:ind w:right="0" w:firstLine="0" w:left="0"/>
        <w:jc w:val="center"/>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sz w:val="25"/>
          <w:szCs w:val="25"/>
        </w:rPr>
      </w:pPr>
      <w:r>
        <w:rPr>
          <w:rFonts w:ascii="Times New Roman" w:hAnsi="Times New Roman" w:eastAsia="Times New Roman" w:cs="Times New Roman"/>
          <w:i w:val="0"/>
          <w:iCs w:val="0"/>
          <w:color w:val="000000" w:themeColor="text1"/>
          <w:sz w:val="25"/>
          <w:szCs w:val="25"/>
        </w:rPr>
        <w:t xml:space="preserve">O </w:t>
      </w:r>
      <w:r>
        <w:rPr>
          <w:rFonts w:ascii="Times New Roman" w:hAnsi="Times New Roman" w:eastAsia="Times New Roman" w:cs="Times New Roman"/>
          <w:b/>
          <w:bCs/>
          <w:i w:val="0"/>
          <w:iCs w:val="0"/>
          <w:color w:val="000000" w:themeColor="text1"/>
          <w:sz w:val="25"/>
          <w:szCs w:val="25"/>
        </w:rPr>
        <w:t xml:space="preserve">CONSÓRCIO INTERMUNICIPAL DE SAÚDE DA REDE DE URGÊNCIA CENTRO SUL – CISRU CENTRO SUL</w:t>
      </w:r>
      <w:r>
        <w:rPr>
          <w:rFonts w:ascii="Times New Roman" w:hAnsi="Times New Roman" w:eastAsia="Times New Roman" w:cs="Times New Roman"/>
          <w:i w:val="0"/>
          <w:iCs w:val="0"/>
          <w:color w:val="000000" w:themeColor="text1"/>
          <w:sz w:val="25"/>
          <w:szCs w:val="25"/>
        </w:rPr>
        <w:t xml:space="preserve">, com sede na Rodovia BR265, nº 1501, Bairro Grogotó, na cidade de Barbacena/MG, inscrito(a) no CNPJ/MF sob o nº 11.938.399/0001-72, neste ato representado pelo Presidente do Conselho Diretor, Sr. Carlos Augusto Soares do Na</w:t>
      </w:r>
      <w:r>
        <w:rPr>
          <w:rFonts w:ascii="Times New Roman" w:hAnsi="Times New Roman" w:eastAsia="Times New Roman" w:cs="Times New Roman"/>
          <w:i w:val="0"/>
          <w:iCs w:val="0"/>
          <w:color w:val="000000" w:themeColor="text1"/>
          <w:sz w:val="25"/>
          <w:szCs w:val="25"/>
        </w:rPr>
        <w:t xml:space="preserve">scimento, considerando o julgamento da licitação na modalidade de pregão, na forma eletrônica, de nº 008/2026, para REGISTRO DE PREÇOS, publicada no </w:t>
      </w:r>
      <w:r>
        <w:rPr>
          <w:rFonts w:ascii="Times New Roman" w:hAnsi="Times New Roman" w:eastAsia="Times New Roman" w:cs="Times New Roman"/>
          <w:i w:val="0"/>
          <w:iCs w:val="0"/>
          <w:color w:val="000000" w:themeColor="text1"/>
          <w:sz w:val="25"/>
          <w:szCs w:val="25"/>
        </w:rPr>
        <w:t xml:space="preserve">Diário Oficial Eletrônico do Município de Conselheiro Lafaiete</w:t>
      </w:r>
      <w:r>
        <w:rPr>
          <w:rFonts w:ascii="Times New Roman" w:hAnsi="Times New Roman" w:eastAsia="Times New Roman" w:cs="Times New Roman"/>
          <w:i w:val="0"/>
          <w:iCs w:val="0"/>
          <w:color w:val="000000" w:themeColor="text1"/>
          <w:sz w:val="25"/>
          <w:szCs w:val="25"/>
        </w:rPr>
        <w:t xml:space="preserve"> de 24/04/2026, processo administrativo n.º 018/2026 – Pregão Eletrônico nº 008/2026, RESOLVE registrar os preços das empresas: </w:t>
      </w:r>
      <w:r>
        <w:rPr>
          <w:rFonts w:ascii="Times New Roman" w:hAnsi="Times New Roman" w:eastAsia="Times New Roman" w:cs="Times New Roman"/>
          <w:b/>
          <w:bCs/>
          <w:i w:val="0"/>
          <w:color w:val="000000" w:themeColor="text1"/>
          <w:sz w:val="25"/>
          <w:szCs w:val="25"/>
        </w:rPr>
        <w:t xml:space="preserve">COFARMINAS COMERCIO DE PRODUTOS FARMACEUTICOS LTDA</w:t>
      </w:r>
      <w:r>
        <w:rPr>
          <w:rFonts w:ascii="Times New Roman" w:hAnsi="Times New Roman" w:eastAsia="Times New Roman" w:cs="Times New Roman"/>
          <w:bCs w:val="0"/>
          <w:i w:val="0"/>
          <w:color w:val="000000" w:themeColor="text1"/>
          <w:sz w:val="25"/>
          <w:szCs w:val="25"/>
        </w:rPr>
        <w:t xml:space="preserve">,</w:t>
      </w:r>
      <w:r>
        <w:rPr>
          <w:rFonts w:ascii="Times New Roman" w:hAnsi="Times New Roman" w:eastAsia="Times New Roman" w:cs="Times New Roman"/>
          <w:iCs w:val="0"/>
          <w:sz w:val="25"/>
          <w:szCs w:val="25"/>
        </w:rPr>
        <w:t xml:space="preserve"> inscrita no CNPJ/MF sob o nº 02.537.890/0001-09, </w:t>
      </w:r>
      <w:r>
        <w:rPr>
          <w:rFonts w:ascii="Times New Roman" w:hAnsi="Times New Roman" w:eastAsia="Times New Roman" w:cs="Times New Roman"/>
          <w:i w:val="0"/>
          <w:iCs w:val="0"/>
          <w:color w:val="000000" w:themeColor="text1"/>
          <w:sz w:val="25"/>
          <w:szCs w:val="25"/>
        </w:rPr>
        <w:t xml:space="preserve">sediada na Rua Tupinambas, nº 651, Bairro Carapina </w:t>
      </w:r>
      <w:r>
        <w:rPr>
          <w:rFonts w:ascii="Times New Roman" w:hAnsi="Times New Roman" w:eastAsia="Times New Roman" w:cs="Times New Roman"/>
          <w:i w:val="0"/>
          <w:iCs w:val="0"/>
          <w:color w:val="000000" w:themeColor="text1"/>
          <w:sz w:val="25"/>
          <w:szCs w:val="25"/>
        </w:rPr>
        <w:t xml:space="preserve">em Governador Valadares/MG,</w:t>
      </w:r>
      <w:r>
        <w:rPr>
          <w:rFonts w:ascii="Times New Roman" w:hAnsi="Times New Roman" w:eastAsia="Times New Roman" w:cs="Times New Roman"/>
          <w:bCs w:val="0"/>
          <w:i w:val="0"/>
          <w:color w:val="000000" w:themeColor="text1"/>
          <w:sz w:val="25"/>
          <w:szCs w:val="25"/>
        </w:rPr>
        <w:t xml:space="preserve"> </w:t>
      </w:r>
      <w:r>
        <w:rPr>
          <w:rFonts w:ascii="Times New Roman" w:hAnsi="Times New Roman" w:eastAsia="Times New Roman" w:cs="Times New Roman"/>
          <w:bCs w:val="0"/>
          <w:i w:val="0"/>
          <w:iCs w:val="0"/>
          <w:color w:val="000000" w:themeColor="text1"/>
          <w:sz w:val="25"/>
          <w:szCs w:val="25"/>
        </w:rPr>
        <w:t xml:space="preserve">CEP: 35.060-530, neste ato representada por </w:t>
      </w:r>
      <w:r>
        <w:rPr>
          <w:rFonts w:ascii="Times New Roman" w:hAnsi="Times New Roman" w:eastAsia="Times New Roman" w:cs="Times New Roman"/>
          <w:bCs w:val="0"/>
          <w:i w:val="0"/>
          <w:iCs w:val="0"/>
          <w:color w:val="000000" w:themeColor="text1"/>
          <w:sz w:val="25"/>
          <w:szCs w:val="25"/>
        </w:rPr>
        <w:t xml:space="preserve">José Aldo Cordeiro de </w:t>
      </w:r>
      <w:r>
        <w:rPr>
          <w:rFonts w:ascii="Times New Roman" w:hAnsi="Times New Roman" w:eastAsia="Times New Roman" w:cs="Times New Roman"/>
          <w:bCs w:val="0"/>
          <w:i w:val="0"/>
          <w:iCs w:val="0"/>
          <w:color w:val="000000" w:themeColor="text1"/>
          <w:sz w:val="25"/>
          <w:szCs w:val="25"/>
        </w:rPr>
        <w:t xml:space="preserve">Siqueira e Marcos Johnson de Almeida</w:t>
      </w:r>
      <w:r>
        <w:rPr>
          <w:rFonts w:ascii="Times New Roman" w:hAnsi="Times New Roman" w:eastAsia="Times New Roman" w:cs="Times New Roman"/>
          <w:bCs w:val="0"/>
          <w:i w:val="0"/>
          <w:iCs w:val="0"/>
          <w:color w:val="000000" w:themeColor="text1"/>
          <w:sz w:val="25"/>
          <w:szCs w:val="25"/>
        </w:rPr>
        <w:t xml:space="preserve">, sócios administradores conforme atos constitutivos da empresa;</w:t>
      </w:r>
      <w:r>
        <w:rPr>
          <w:rFonts w:ascii="Times New Roman" w:hAnsi="Times New Roman" w:eastAsia="Times New Roman" w:cs="Times New Roman"/>
          <w:sz w:val="25"/>
          <w:szCs w:val="25"/>
        </w:rPr>
        <w:t xml:space="preserve"> </w:t>
      </w:r>
      <w:r>
        <w:rPr>
          <w:rFonts w:ascii="Times New Roman" w:hAnsi="Times New Roman" w:eastAsia="Times New Roman" w:cs="Times New Roman"/>
          <w:b/>
          <w:bCs/>
          <w:sz w:val="25"/>
          <w:szCs w:val="25"/>
        </w:rPr>
        <w:t xml:space="preserve">CONQUISTA DISTRIBUIDORA DE MEDICAMENTOS E PRODUTOS HOSPITALARES LTDA</w:t>
      </w:r>
      <w:r>
        <w:rPr>
          <w:rFonts w:ascii="Times New Roman" w:hAnsi="Times New Roman" w:eastAsia="Times New Roman" w:cs="Times New Roman"/>
          <w:b/>
          <w:bCs/>
          <w:sz w:val="25"/>
          <w:szCs w:val="25"/>
        </w:rPr>
        <w:t xml:space="preserve">, </w:t>
      </w:r>
      <w:r>
        <w:rPr>
          <w:rFonts w:ascii="Times New Roman" w:hAnsi="Times New Roman" w:eastAsia="Times New Roman" w:cs="Times New Roman"/>
          <w:iCs w:val="0"/>
          <w:sz w:val="25"/>
          <w:szCs w:val="25"/>
        </w:rPr>
        <w:t xml:space="preserve">inscrita no CNPJ/MF sob o nº </w:t>
      </w:r>
      <w:r>
        <w:rPr>
          <w:rFonts w:ascii="Times New Roman" w:hAnsi="Times New Roman" w:eastAsia="Times New Roman" w:cs="Times New Roman"/>
          <w:b w:val="0"/>
          <w:bCs w:val="0"/>
          <w:sz w:val="25"/>
          <w:szCs w:val="25"/>
        </w:rPr>
        <w:t xml:space="preserve">12.418.191/0001-95</w:t>
      </w:r>
      <w:r>
        <w:rPr>
          <w:rFonts w:ascii="Times New Roman" w:hAnsi="Times New Roman" w:eastAsia="Times New Roman" w:cs="Times New Roman"/>
          <w:b w:val="0"/>
          <w:bCs w:val="0"/>
          <w:iCs w:val="0"/>
          <w:sz w:val="25"/>
          <w:szCs w:val="25"/>
        </w:rPr>
        <w:t xml:space="preserve">, sediada na Rodovia BR 101, nº 131, KM 131, Bairro Várzea do Ranchinho em Camboriú/SC, CEP </w:t>
      </w:r>
      <w:r>
        <w:rPr>
          <w:rFonts w:ascii="Times New Roman" w:hAnsi="Times New Roman" w:eastAsia="Times New Roman" w:cs="Times New Roman"/>
          <w:b w:val="0"/>
          <w:bCs w:val="0"/>
          <w:iCs w:val="0"/>
          <w:sz w:val="25"/>
          <w:szCs w:val="25"/>
        </w:rPr>
        <w:t xml:space="preserve">88.349-175</w:t>
      </w:r>
      <w:r>
        <w:rPr>
          <w:rFonts w:ascii="Times New Roman" w:hAnsi="Times New Roman" w:eastAsia="Times New Roman" w:cs="Times New Roman"/>
          <w:b w:val="0"/>
          <w:bCs w:val="0"/>
          <w:iCs w:val="0"/>
          <w:sz w:val="25"/>
          <w:szCs w:val="25"/>
        </w:rPr>
        <w:t xml:space="preserve">, </w:t>
      </w:r>
      <w:r>
        <w:rPr>
          <w:rFonts w:ascii="Times New Roman" w:hAnsi="Times New Roman" w:eastAsia="Times New Roman" w:cs="Times New Roman"/>
          <w:bCs w:val="0"/>
          <w:i w:val="0"/>
          <w:iCs w:val="0"/>
          <w:color w:val="000000" w:themeColor="text1"/>
          <w:sz w:val="25"/>
          <w:szCs w:val="25"/>
        </w:rPr>
        <w:t xml:space="preserve"> neste ato representada por </w:t>
      </w:r>
      <w:r>
        <w:rPr>
          <w:rFonts w:ascii="Times New Roman" w:hAnsi="Times New Roman" w:eastAsia="Times New Roman" w:cs="Times New Roman"/>
          <w:bCs w:val="0"/>
          <w:i w:val="0"/>
          <w:iCs w:val="0"/>
          <w:color w:val="000000" w:themeColor="text1"/>
          <w:sz w:val="25"/>
          <w:szCs w:val="25"/>
        </w:rPr>
        <w:t xml:space="preserve">Adriano Rodrigues da Silva</w:t>
      </w:r>
      <w:r>
        <w:rPr>
          <w:rFonts w:ascii="Times New Roman" w:hAnsi="Times New Roman" w:eastAsia="Times New Roman" w:cs="Times New Roman"/>
          <w:bCs w:val="0"/>
          <w:i w:val="0"/>
          <w:iCs w:val="0"/>
          <w:color w:val="000000" w:themeColor="text1"/>
          <w:sz w:val="25"/>
          <w:szCs w:val="25"/>
        </w:rPr>
        <w:t xml:space="preserve">, sócio administrador, conforme atos constitutivos da empresa; </w:t>
      </w:r>
      <w:r>
        <w:rPr>
          <w:rFonts w:ascii="Times New Roman" w:hAnsi="Times New Roman" w:eastAsia="Times New Roman" w:cs="Times New Roman"/>
          <w:b/>
          <w:bCs/>
          <w:i w:val="0"/>
          <w:iCs w:val="0"/>
          <w:color w:val="000000" w:themeColor="text1"/>
          <w:sz w:val="25"/>
          <w:szCs w:val="25"/>
        </w:rPr>
        <w:t xml:space="preserve">CRISTALIA PRODUTOS QUIMICOS FARMACEUTICOS LTDA</w:t>
      </w:r>
      <w:r>
        <w:rPr>
          <w:rFonts w:ascii="Times New Roman" w:hAnsi="Times New Roman" w:eastAsia="Times New Roman" w:cs="Times New Roman"/>
          <w:i w:val="0"/>
          <w:iCs w:val="0"/>
          <w:color w:val="000000" w:themeColor="text1"/>
          <w:sz w:val="25"/>
          <w:szCs w:val="25"/>
        </w:rPr>
        <w:t xml:space="preserve">, inscrita no CNPJ/MF sob o nº 44.734.671/0022-86, </w:t>
      </w:r>
      <w:r>
        <w:rPr>
          <w:rFonts w:ascii="Times New Roman" w:hAnsi="Times New Roman" w:eastAsia="Times New Roman" w:cs="Times New Roman"/>
          <w:i w:val="0"/>
          <w:iCs w:val="0"/>
          <w:color w:val="000000" w:themeColor="text1"/>
          <w:sz w:val="25"/>
          <w:szCs w:val="25"/>
        </w:rPr>
        <w:t xml:space="preserve">sediada na Rodovia Monsenhor Clodoaldo de Paiva, s/n, complemento KM 46.2, Bairro Loteamento Nações Unidas</w:t>
      </w:r>
      <w:r>
        <w:rPr>
          <w:rFonts w:ascii="Times New Roman" w:hAnsi="Times New Roman" w:eastAsia="Times New Roman" w:cs="Times New Roman"/>
          <w:bCs w:val="0"/>
          <w:i w:val="0"/>
          <w:color w:val="000000" w:themeColor="text1"/>
          <w:sz w:val="25"/>
          <w:szCs w:val="25"/>
          <w:highlight w:val="none"/>
        </w:rPr>
        <w:t xml:space="preserve"> </w:t>
      </w:r>
      <w:r>
        <w:rPr>
          <w:rFonts w:ascii="Times New Roman" w:hAnsi="Times New Roman" w:eastAsia="Times New Roman" w:cs="Times New Roman"/>
          <w:i w:val="0"/>
          <w:iCs w:val="0"/>
          <w:color w:val="000000" w:themeColor="text1"/>
          <w:sz w:val="25"/>
          <w:szCs w:val="25"/>
        </w:rPr>
        <w:t xml:space="preserve">em Itapira/SP, CEP: 13.974-908, </w:t>
      </w:r>
      <w:r>
        <w:rPr>
          <w:rFonts w:ascii="Times New Roman" w:hAnsi="Times New Roman" w:eastAsia="Times New Roman" w:cs="Times New Roman"/>
          <w:bCs w:val="0"/>
          <w:i w:val="0"/>
          <w:iCs w:val="0"/>
          <w:color w:val="000000" w:themeColor="text1"/>
          <w:sz w:val="25"/>
          <w:szCs w:val="25"/>
        </w:rPr>
        <w:t xml:space="preserve">neste ato representada por</w:t>
      </w:r>
      <w:r>
        <w:rPr>
          <w:rFonts w:ascii="Times New Roman" w:hAnsi="Times New Roman" w:eastAsia="Times New Roman" w:cs="Times New Roman"/>
          <w:i w:val="0"/>
          <w:iCs w:val="0"/>
          <w:color w:val="000000" w:themeColor="text1"/>
          <w:sz w:val="25"/>
          <w:szCs w:val="25"/>
        </w:rPr>
        <w:t xml:space="preserve"> </w:t>
      </w:r>
      <w:r>
        <w:rPr>
          <w:rFonts w:ascii="Times New Roman" w:hAnsi="Times New Roman" w:eastAsia="Times New Roman" w:cs="Times New Roman"/>
          <w:i w:val="0"/>
          <w:iCs w:val="0"/>
          <w:color w:val="000000" w:themeColor="text1"/>
          <w:sz w:val="25"/>
          <w:szCs w:val="25"/>
        </w:rPr>
        <w:t xml:space="preserve">Adriano Gomes dos Santos, Gerente de Licitações, </w:t>
      </w:r>
      <w:r>
        <w:rPr>
          <w:rFonts w:ascii="Times New Roman" w:hAnsi="Times New Roman" w:eastAsia="Times New Roman" w:cs="Times New Roman"/>
          <w:i w:val="0"/>
          <w:iCs w:val="0"/>
          <w:color w:val="000000" w:themeColor="text1"/>
          <w:sz w:val="25"/>
          <w:szCs w:val="25"/>
        </w:rPr>
        <w:t xml:space="preserve">conforme procuração apresentada nos autos;</w:t>
      </w:r>
      <w:r>
        <w:rPr>
          <w:rFonts w:ascii="Times New Roman" w:hAnsi="Times New Roman" w:cs="Times New Roman"/>
          <w:bCs w:val="0"/>
          <w:i w:val="0"/>
          <w:color w:val="000000" w:themeColor="text1"/>
          <w:sz w:val="25"/>
          <w:szCs w:val="25"/>
          <w:highlight w:val="none"/>
        </w:rPr>
        <w:t xml:space="preserve"> </w:t>
      </w:r>
      <w:r>
        <w:rPr>
          <w:rFonts w:ascii="Times New Roman" w:hAnsi="Times New Roman" w:eastAsia="Times New Roman" w:cs="Times New Roman"/>
          <w:b/>
          <w:bCs/>
          <w:i w:val="0"/>
          <w:iCs w:val="0"/>
          <w:color w:val="000000" w:themeColor="text1"/>
          <w:sz w:val="25"/>
          <w:szCs w:val="25"/>
        </w:rPr>
        <w:t xml:space="preserve">EMENALLI MEDICAL LTDA</w:t>
      </w:r>
      <w:r>
        <w:rPr>
          <w:rFonts w:ascii="Times New Roman" w:hAnsi="Times New Roman" w:eastAsia="Times New Roman" w:cs="Times New Roman"/>
          <w:i w:val="0"/>
          <w:iCs w:val="0"/>
          <w:color w:val="000000" w:themeColor="text1"/>
          <w:sz w:val="25"/>
          <w:szCs w:val="25"/>
        </w:rPr>
        <w:t xml:space="preserve">, inscrita no CNPJ/MF sob o nº 13.694.036/0001-64</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sediada na Rua Castelo Setubal, nº130, Bairro Castelo em  Belo Horizonte/MG</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CEP:31.330-090, neste ato representada por</w:t>
      </w:r>
      <w:r>
        <w:rPr>
          <w:rFonts w:ascii="Times New Roman" w:hAnsi="Times New Roman" w:eastAsia="Times New Roman" w:cs="Times New Roman"/>
          <w:i w:val="0"/>
          <w:iCs w:val="0"/>
          <w:color w:val="000000" w:themeColor="text1"/>
          <w:sz w:val="25"/>
          <w:szCs w:val="25"/>
        </w:rPr>
        <w:t xml:space="preserve"> Regiani Menali R</w:t>
      </w:r>
      <w:r>
        <w:rPr>
          <w:rFonts w:ascii="Times New Roman" w:hAnsi="Times New Roman" w:eastAsia="Times New Roman" w:cs="Times New Roman"/>
          <w:i w:val="0"/>
          <w:iCs w:val="0"/>
          <w:color w:val="000000" w:themeColor="text1"/>
          <w:sz w:val="25"/>
          <w:szCs w:val="25"/>
        </w:rPr>
        <w:t xml:space="preserve">odrigues Pereira</w:t>
      </w:r>
      <w:r>
        <w:rPr>
          <w:rFonts w:ascii="Times New Roman" w:hAnsi="Times New Roman" w:eastAsia="Times New Roman" w:cs="Times New Roman"/>
          <w:i w:val="0"/>
          <w:iCs w:val="0"/>
          <w:color w:val="000000" w:themeColor="text1"/>
          <w:sz w:val="25"/>
          <w:szCs w:val="25"/>
        </w:rPr>
        <w:t xml:space="preserve">, sócia única, conforme atos constitutivos da empresa;</w:t>
      </w:r>
      <w:r>
        <w:rPr>
          <w:sz w:val="25"/>
          <w:szCs w:val="25"/>
        </w:rPr>
        <w:t xml:space="preserve"> </w:t>
      </w:r>
      <w:r>
        <w:rPr>
          <w:rFonts w:ascii="Times New Roman" w:hAnsi="Times New Roman" w:eastAsia="Times New Roman" w:cs="Times New Roman"/>
          <w:b/>
          <w:bCs/>
          <w:iCs w:val="0"/>
          <w:sz w:val="25"/>
          <w:szCs w:val="25"/>
        </w:rPr>
        <w:t xml:space="preserve">ILG COMERCIAL LTDA</w:t>
      </w:r>
      <w:r>
        <w:rPr>
          <w:rFonts w:ascii="Times New Roman" w:hAnsi="Times New Roman" w:eastAsia="Times New Roman" w:cs="Times New Roman"/>
          <w:iCs w:val="0"/>
          <w:sz w:val="25"/>
          <w:szCs w:val="25"/>
        </w:rPr>
        <w:t xml:space="preserve">, inscrito(a) no CNPJ/MF sob o nº 20.657.155/0001-02</w:t>
      </w:r>
      <w:r>
        <w:rPr>
          <w:rFonts w:ascii="Times New Roman" w:hAnsi="Times New Roman" w:eastAsia="Times New Roman" w:cs="Times New Roman"/>
          <w:b/>
          <w:bCs/>
          <w:iCs w:val="0"/>
          <w:sz w:val="25"/>
          <w:szCs w:val="25"/>
        </w:rPr>
        <w:t xml:space="preserve">,</w:t>
      </w:r>
      <w:r>
        <w:rPr>
          <w:rFonts w:ascii="Times New Roman" w:hAnsi="Times New Roman" w:eastAsia="Times New Roman" w:cs="Times New Roman"/>
          <w:iCs w:val="0"/>
          <w:sz w:val="25"/>
          <w:szCs w:val="25"/>
        </w:rPr>
        <w:t xml:space="preserve"> sediada na Rua Itacolomi, nº 377, Bairro La Salle em Pato Branco/PR</w:t>
      </w:r>
      <w:r>
        <w:rPr>
          <w:rFonts w:ascii="Times New Roman" w:hAnsi="Times New Roman" w:eastAsia="Times New Roman" w:cs="Times New Roman"/>
          <w:b/>
          <w:bCs/>
          <w:iCs w:val="0"/>
          <w:sz w:val="25"/>
          <w:szCs w:val="25"/>
        </w:rPr>
        <w:t xml:space="preserve">,</w:t>
      </w:r>
      <w:r>
        <w:rPr>
          <w:rFonts w:ascii="Times New Roman" w:hAnsi="Times New Roman" w:eastAsia="Times New Roman" w:cs="Times New Roman"/>
          <w:iCs w:val="0"/>
          <w:sz w:val="25"/>
          <w:szCs w:val="25"/>
        </w:rPr>
        <w:t xml:space="preserve"> CEP: 85.505-050 neste ato representada por </w:t>
      </w:r>
      <w:r>
        <w:rPr>
          <w:rFonts w:ascii="Times New Roman" w:hAnsi="Times New Roman" w:eastAsia="Times New Roman" w:cs="Times New Roman"/>
          <w:iCs w:val="0"/>
          <w:sz w:val="25"/>
          <w:szCs w:val="25"/>
        </w:rPr>
        <w:t xml:space="preserve">Adolfo Frederico </w:t>
      </w:r>
      <w:r>
        <w:rPr>
          <w:rFonts w:ascii="Times New Roman" w:hAnsi="Times New Roman" w:eastAsia="Times New Roman" w:cs="Times New Roman"/>
          <w:iCs w:val="0"/>
          <w:sz w:val="25"/>
          <w:szCs w:val="25"/>
        </w:rPr>
        <w:t xml:space="preserve">Grams</w:t>
      </w:r>
      <w:r>
        <w:rPr>
          <w:rFonts w:ascii="Times New Roman" w:hAnsi="Times New Roman" w:eastAsia="Times New Roman" w:cs="Times New Roman"/>
          <w:iCs w:val="0"/>
          <w:sz w:val="25"/>
          <w:szCs w:val="25"/>
        </w:rPr>
        <w:t xml:space="preserve">, sócio único, conforme atos constitutivos da empresa;</w:t>
      </w:r>
      <w:r>
        <w:rPr>
          <w:rFonts w:ascii="Times New Roman" w:hAnsi="Times New Roman" w:eastAsia="Times New Roman" w:cs="Times New Roman"/>
          <w:b/>
          <w:bCs/>
          <w:i w:val="0"/>
          <w:iCs w:val="0"/>
          <w:color w:val="000000" w:themeColor="text1"/>
          <w:sz w:val="25"/>
          <w:szCs w:val="25"/>
        </w:rPr>
        <w:t xml:space="preserve"> MEDH DISTRIBUIDORA DE MEDICAMENTOS LTDA</w:t>
      </w:r>
      <w:r>
        <w:rPr>
          <w:rFonts w:ascii="Times New Roman" w:hAnsi="Times New Roman" w:eastAsia="Times New Roman" w:cs="Times New Roman"/>
          <w:i w:val="0"/>
          <w:iCs w:val="0"/>
          <w:color w:val="000000" w:themeColor="text1"/>
          <w:sz w:val="25"/>
          <w:szCs w:val="25"/>
        </w:rPr>
        <w:t xml:space="preserve">, inscrita no CNPJ/MF sob o nº 18.917.657/0001-83</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sediada na Avenida Niagara, nº 1076,  Bairro Jardim Canada em Nova Lima/MG</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CEP: 34.007-652, neste ato representada por Evandro Nader e/ou Eduardo Dias Hermeto Filho e/ou Felipe Tavares Costa, </w:t>
      </w:r>
      <w:r>
        <w:rPr>
          <w:rFonts w:ascii="Times New Roman" w:hAnsi="Times New Roman" w:eastAsia="Times New Roman" w:cs="Times New Roman"/>
          <w:i w:val="0"/>
          <w:iCs w:val="0"/>
          <w:color w:val="000000" w:themeColor="text1"/>
          <w:sz w:val="25"/>
          <w:szCs w:val="25"/>
        </w:rPr>
        <w:t xml:space="preserve">administradores não sócios</w:t>
      </w:r>
      <w:r>
        <w:rPr>
          <w:rFonts w:ascii="Times New Roman" w:hAnsi="Times New Roman" w:eastAsia="Times New Roman" w:cs="Times New Roman"/>
          <w:i w:val="0"/>
          <w:iCs w:val="0"/>
          <w:color w:val="000000" w:themeColor="text1"/>
          <w:sz w:val="25"/>
          <w:szCs w:val="25"/>
        </w:rPr>
        <w:t xml:space="preserve">, conforme atos constitutivos da empresa</w:t>
      </w:r>
      <w:r>
        <w:rPr>
          <w:rFonts w:ascii="Times New Roman" w:hAnsi="Times New Roman" w:eastAsia="Times New Roman" w:cs="Times New Roman"/>
          <w:i w:val="0"/>
          <w:iCs w:val="0"/>
          <w:color w:val="000000" w:themeColor="text1"/>
          <w:sz w:val="25"/>
          <w:szCs w:val="25"/>
        </w:rPr>
        <w:t xml:space="preserve">;</w:t>
      </w:r>
      <w:r>
        <w:rPr>
          <w:rFonts w:ascii="Times New Roman" w:hAnsi="Times New Roman" w:eastAsia="Times New Roman" w:cs="Times New Roman"/>
          <w:bCs w:val="0"/>
          <w:i w:val="0"/>
          <w:color w:val="000000" w:themeColor="text1"/>
          <w:sz w:val="25"/>
          <w:szCs w:val="25"/>
          <w:highlight w:val="none"/>
        </w:rPr>
        <w:t xml:space="preserve"> </w:t>
      </w:r>
      <w:r>
        <w:rPr>
          <w:rFonts w:ascii="Times New Roman" w:hAnsi="Times New Roman" w:eastAsia="Times New Roman" w:cs="Times New Roman"/>
          <w:b/>
          <w:bCs/>
          <w:i w:val="0"/>
          <w:iCs w:val="0"/>
          <w:color w:val="000000" w:themeColor="text1"/>
          <w:sz w:val="25"/>
          <w:szCs w:val="25"/>
        </w:rPr>
        <w:t xml:space="preserve">SOMA/MG PRODUTOS HOSPITALARES LTDA</w:t>
      </w:r>
      <w:r>
        <w:rPr>
          <w:rFonts w:ascii="Times New Roman" w:hAnsi="Times New Roman" w:eastAsia="Times New Roman" w:cs="Times New Roman"/>
          <w:i w:val="0"/>
          <w:iCs w:val="0"/>
          <w:color w:val="000000" w:themeColor="text1"/>
          <w:sz w:val="25"/>
          <w:szCs w:val="25"/>
        </w:rPr>
        <w:t xml:space="preserve">, inscrita no CNPJ/MF sob o nº 12.927.876/0001-67</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sediada na Estm. Pedro Rosa da Silva, nº 515, Bairro Morro Grande em Extrema/MG</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CEP: 37.647-276, neste ato representada por</w:t>
      </w:r>
      <w:r>
        <w:rPr>
          <w:rFonts w:ascii="Times New Roman" w:hAnsi="Times New Roman" w:eastAsia="Times New Roman" w:cs="Times New Roman"/>
          <w:i w:val="0"/>
          <w:iCs w:val="0"/>
          <w:color w:val="000000" w:themeColor="text1"/>
          <w:sz w:val="25"/>
          <w:szCs w:val="25"/>
        </w:rPr>
        <w:t xml:space="preserve"> Marcelo Lapinscki</w:t>
      </w:r>
      <w:r>
        <w:rPr>
          <w:rFonts w:ascii="Times New Roman" w:hAnsi="Times New Roman" w:eastAsia="Times New Roman" w:cs="Times New Roman"/>
          <w:i w:val="0"/>
          <w:iCs w:val="0"/>
          <w:color w:val="000000" w:themeColor="text1"/>
          <w:sz w:val="25"/>
          <w:szCs w:val="25"/>
        </w:rPr>
        <w:t xml:space="preserve"> e/ou </w:t>
      </w:r>
      <w:r>
        <w:rPr>
          <w:rFonts w:ascii="Times New Roman" w:hAnsi="Times New Roman" w:eastAsia="Times New Roman" w:cs="Times New Roman"/>
          <w:i w:val="0"/>
          <w:iCs w:val="0"/>
          <w:color w:val="000000" w:themeColor="text1"/>
          <w:sz w:val="25"/>
          <w:szCs w:val="25"/>
        </w:rPr>
        <w:t xml:space="preserve"> Hamilton Pletsch</w:t>
      </w:r>
      <w:r>
        <w:rPr>
          <w:rFonts w:ascii="Times New Roman" w:hAnsi="Times New Roman" w:eastAsia="Times New Roman" w:cs="Times New Roman"/>
          <w:i w:val="0"/>
          <w:iCs w:val="0"/>
          <w:color w:val="000000" w:themeColor="text1"/>
          <w:sz w:val="25"/>
          <w:szCs w:val="25"/>
        </w:rPr>
        <w:t xml:space="preserve">, conforme atos constitutivos da empresa e </w:t>
      </w:r>
      <w:r>
        <w:rPr>
          <w:rFonts w:ascii="Times New Roman" w:hAnsi="Times New Roman" w:eastAsia="Times New Roman" w:cs="Times New Roman"/>
          <w:b/>
          <w:bCs/>
          <w:i w:val="0"/>
          <w:iCs w:val="0"/>
          <w:color w:val="000000" w:themeColor="text1"/>
          <w:sz w:val="25"/>
          <w:szCs w:val="25"/>
        </w:rPr>
        <w:t xml:space="preserve">TS FARMA DISTRIBUIDORA LTDA</w:t>
      </w:r>
      <w:r>
        <w:rPr>
          <w:rFonts w:ascii="Times New Roman" w:hAnsi="Times New Roman" w:eastAsia="Times New Roman" w:cs="Times New Roman"/>
          <w:i w:val="0"/>
          <w:iCs w:val="0"/>
          <w:color w:val="000000" w:themeColor="text1"/>
          <w:sz w:val="25"/>
          <w:szCs w:val="25"/>
        </w:rPr>
        <w:t xml:space="preserve">, inscrita no CNPJ/MF sob o nº 21.189.554/0001-59</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sediada na Alameda Engenheiro Gentil For</w:t>
      </w:r>
      <w:r>
        <w:rPr>
          <w:rFonts w:ascii="Times New Roman" w:hAnsi="Times New Roman" w:eastAsia="Times New Roman" w:cs="Times New Roman"/>
          <w:i w:val="0"/>
          <w:iCs w:val="0"/>
          <w:color w:val="000000" w:themeColor="text1"/>
          <w:sz w:val="25"/>
          <w:szCs w:val="25"/>
        </w:rPr>
        <w:t xml:space="preserve">n</w:t>
      </w:r>
      <w:r>
        <w:rPr>
          <w:rFonts w:ascii="Times New Roman" w:hAnsi="Times New Roman" w:eastAsia="Times New Roman" w:cs="Times New Roman"/>
          <w:i w:val="0"/>
          <w:iCs w:val="0"/>
          <w:color w:val="000000" w:themeColor="text1"/>
          <w:sz w:val="25"/>
          <w:szCs w:val="25"/>
        </w:rPr>
        <w:t xml:space="preserve">, nº 1694, sala 204, Bairro São Pedro em  Juiz de Fora</w:t>
      </w:r>
      <w:r>
        <w:rPr>
          <w:rFonts w:ascii="Times New Roman" w:hAnsi="Times New Roman" w:eastAsia="Times New Roman" w:cs="Times New Roman"/>
          <w:b/>
          <w:bCs/>
          <w:i w:val="0"/>
          <w:iCs w:val="0"/>
          <w:color w:val="000000" w:themeColor="text1"/>
          <w:sz w:val="25"/>
          <w:szCs w:val="25"/>
        </w:rPr>
        <w:t xml:space="preserve">,</w:t>
      </w:r>
      <w:r>
        <w:rPr>
          <w:rFonts w:ascii="Times New Roman" w:hAnsi="Times New Roman" w:eastAsia="Times New Roman" w:cs="Times New Roman"/>
          <w:i w:val="0"/>
          <w:iCs w:val="0"/>
          <w:color w:val="000000" w:themeColor="text1"/>
          <w:sz w:val="25"/>
          <w:szCs w:val="25"/>
        </w:rPr>
        <w:t xml:space="preserve"> CEP: 36.036-425</w:t>
      </w:r>
      <w:r>
        <w:rPr>
          <w:rFonts w:ascii="Times New Roman" w:hAnsi="Times New Roman" w:eastAsia="Times New Roman" w:cs="Times New Roman"/>
          <w:i w:val="0"/>
          <w:iCs w:val="0"/>
          <w:color w:val="000000" w:themeColor="text1"/>
          <w:sz w:val="25"/>
          <w:szCs w:val="25"/>
        </w:rPr>
        <w:t xml:space="preserve">, neste ato representada por </w:t>
      </w:r>
      <w:r>
        <w:rPr>
          <w:rFonts w:ascii="Times New Roman" w:hAnsi="Times New Roman" w:eastAsia="Times New Roman" w:cs="Times New Roman"/>
          <w:i w:val="0"/>
          <w:iCs w:val="0"/>
          <w:color w:val="000000" w:themeColor="text1"/>
          <w:sz w:val="25"/>
          <w:szCs w:val="25"/>
        </w:rPr>
        <w:t xml:space="preserve">Thalerson Sell Ferreira</w:t>
      </w:r>
      <w:r>
        <w:rPr>
          <w:rFonts w:ascii="Times New Roman" w:hAnsi="Times New Roman" w:eastAsia="Times New Roman" w:cs="Times New Roman"/>
          <w:i w:val="0"/>
          <w:iCs w:val="0"/>
          <w:color w:val="000000" w:themeColor="text1"/>
          <w:sz w:val="25"/>
          <w:szCs w:val="25"/>
        </w:rPr>
        <w:t xml:space="preserve">, sócio único, conforme atos constitutivos da empresa</w:t>
      </w:r>
      <w:r>
        <w:rPr>
          <w:rFonts w:ascii="Times New Roman" w:hAnsi="Times New Roman" w:eastAsia="Times New Roman" w:cs="Times New Roman"/>
          <w:bCs w:val="0"/>
          <w:i w:val="0"/>
          <w:color w:val="000000" w:themeColor="text1"/>
          <w:sz w:val="25"/>
          <w:szCs w:val="25"/>
          <w:highlight w:val="none"/>
        </w:rPr>
        <w:t xml:space="preserve">, </w:t>
      </w:r>
      <w:r>
        <w:rPr>
          <w:rFonts w:ascii="Times New Roman" w:hAnsi="Times New Roman" w:eastAsia="Times New Roman" w:cs="Times New Roman"/>
          <w:i w:val="0"/>
          <w:iCs w:val="0"/>
          <w:color w:val="000000" w:themeColor="text1"/>
          <w:sz w:val="25"/>
          <w:szCs w:val="25"/>
        </w:rPr>
        <w:t xml:space="preserve">doravante designado </w:t>
      </w:r>
      <w:r>
        <w:rPr>
          <w:rFonts w:ascii="Times New Roman" w:hAnsi="Times New Roman" w:eastAsia="Times New Roman" w:cs="Times New Roman"/>
          <w:b/>
          <w:bCs/>
          <w:i w:val="0"/>
          <w:iCs w:val="0"/>
          <w:color w:val="000000" w:themeColor="text1"/>
          <w:sz w:val="25"/>
          <w:szCs w:val="25"/>
        </w:rPr>
        <w:t xml:space="preserve">DETENTORAS, </w:t>
      </w:r>
      <w:r>
        <w:rPr>
          <w:sz w:val="25"/>
          <w:szCs w:val="25"/>
        </w:rPr>
      </w:r>
      <w:r>
        <w:rPr>
          <w:rFonts w:ascii="Times New Roman" w:hAnsi="Times New Roman" w:eastAsia="Times New Roman" w:cs="Times New Roman"/>
          <w:b/>
          <w:bCs/>
          <w:i w:val="0"/>
          <w:iCs w:val="0"/>
          <w:color w:val="000000" w:themeColor="text1"/>
          <w:sz w:val="25"/>
          <w:szCs w:val="25"/>
        </w:rPr>
      </w:r>
      <w:r>
        <w:rPr>
          <w:rFonts w:ascii="Times New Roman" w:hAnsi="Times New Roman" w:eastAsia="Times New Roman" w:cs="Times New Roman"/>
          <w:i w:val="0"/>
          <w:iCs w:val="0"/>
          <w:color w:val="000000" w:themeColor="text1"/>
          <w:sz w:val="25"/>
          <w:szCs w:val="25"/>
        </w:rPr>
      </w:r>
      <w:r/>
      <w:r>
        <w:rPr>
          <w:rFonts w:ascii="Times New Roman" w:hAnsi="Times New Roman" w:eastAsia="Times New Roman" w:cs="Times New Roman"/>
          <w:i w:val="0"/>
          <w:iCs w:val="0"/>
          <w:color w:val="000000" w:themeColor="text1"/>
          <w:sz w:val="25"/>
          <w:szCs w:val="25"/>
        </w:rPr>
        <w:t xml:space="preserve">atendendo as condições previs</w:t>
      </w:r>
      <w:r>
        <w:rPr>
          <w:rFonts w:ascii="Times New Roman" w:hAnsi="Times New Roman" w:eastAsia="Times New Roman" w:cs="Times New Roman"/>
          <w:i w:val="0"/>
          <w:iCs w:val="0"/>
          <w:color w:val="000000" w:themeColor="text1"/>
          <w:sz w:val="25"/>
          <w:szCs w:val="25"/>
        </w:rPr>
        <w:t xml:space="preserve">tas no Edital de Licitação nº 008/2026, sujeitando-se as partes às normas constantes na Lei nº 14.133, de 1º de abril de 2021, no Decreto n.º 11.462, de 31 de março de 2023, cuja aplicação foi regulamentada no âmbito do CISRU Centro Sul pelo Decreto n° 005</w:t>
      </w:r>
      <w:commentRangeStart w:id="0"/>
      <w:commentRangeStart w:id="1"/>
      <w:r>
        <w:rPr>
          <w:rFonts w:ascii="Times New Roman" w:hAnsi="Times New Roman" w:eastAsia="Times New Roman" w:cs="Times New Roman"/>
          <w:sz w:val="25"/>
          <w:szCs w:val="25"/>
        </w:rPr>
      </w:r>
      <w:commentRangeStart w:id="2"/>
      <w:r>
        <w:rPr>
          <w:rFonts w:ascii="Times New Roman" w:hAnsi="Times New Roman" w:eastAsia="Times New Roman" w:cs="Times New Roman"/>
          <w:i w:val="0"/>
          <w:iCs w:val="0"/>
          <w:color w:val="000000" w:themeColor="text1"/>
          <w:sz w:val="25"/>
          <w:szCs w:val="25"/>
        </w:rPr>
        <w:t xml:space="preserve">/2024,</w:t>
      </w:r>
      <w:r>
        <w:rPr>
          <w:rFonts w:ascii="Times New Roman" w:hAnsi="Times New Roman" w:eastAsia="Times New Roman" w:cs="Times New Roman"/>
          <w:i w:val="0"/>
          <w:iCs w:val="0"/>
          <w:color w:val="000000" w:themeColor="text1"/>
          <w:sz w:val="25"/>
          <w:szCs w:val="25"/>
        </w:rPr>
      </w:r>
      <w:commentRangeEnd w:id="0"/>
      <w:commentRangeEnd w:id="1"/>
      <w:r>
        <w:commentReference w:id="0"/>
        <w:commentReference w:id="1"/>
      </w:r>
      <w:r>
        <w:rPr>
          <w:rFonts w:ascii="Times New Roman" w:hAnsi="Times New Roman" w:eastAsia="Times New Roman" w:cs="Times New Roman"/>
          <w:i w:val="0"/>
          <w:iCs w:val="0"/>
          <w:color w:val="000000" w:themeColor="text1"/>
          <w:sz w:val="25"/>
          <w:szCs w:val="25"/>
        </w:rPr>
      </w:r>
      <w:commentRangeEnd w:id="2"/>
      <w:r>
        <w:commentReference w:id="2"/>
      </w:r>
      <w:r>
        <w:rPr>
          <w:rFonts w:ascii="Times New Roman" w:hAnsi="Times New Roman" w:eastAsia="Times New Roman" w:cs="Times New Roman"/>
          <w:i w:val="0"/>
          <w:iCs w:val="0"/>
          <w:color w:val="000000" w:themeColor="text1"/>
          <w:sz w:val="25"/>
          <w:szCs w:val="25"/>
        </w:rPr>
        <w:t xml:space="preserve"> e em conformidade com as disposições a seguir:</w:t>
      </w:r>
      <w:r>
        <w:rPr>
          <w:sz w:val="25"/>
          <w:szCs w:val="25"/>
        </w:rPr>
      </w:r>
      <w:r/>
      <w:r>
        <w:rPr>
          <w:sz w:val="25"/>
          <w:szCs w:val="25"/>
        </w:rPr>
      </w:r>
    </w:p>
    <w:p>
      <w:pPr>
        <w:pStyle w:val="1028"/>
        <w:widowControl w:val="false"/>
        <w:pBdr/>
        <w:tabs>
          <w:tab w:val="clear" w:leader="none" w:pos="708"/>
          <w:tab w:val="center" w:leader="none" w:pos="4779"/>
          <w:tab w:val="right" w:leader="none" w:pos="9198"/>
        </w:tabs>
        <w:spacing w:line="276" w:lineRule="auto"/>
        <w:ind w:right="0" w:firstLine="0" w:left="0"/>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bCs w:val="0"/>
          <w:i w:val="0"/>
          <w:color w:val="000000" w:themeColor="text1"/>
          <w:sz w:val="25"/>
          <w:szCs w:val="25"/>
        </w:rPr>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36"/>
        <w:numPr>
          <w:ilvl w:val="0"/>
          <w:numId w:val="1"/>
        </w:numPr>
        <w:pBdr/>
        <w:tabs>
          <w:tab w:val="left" w:leader="none" w:pos="-567"/>
          <w:tab w:val="clear" w:leader="none" w:pos="567"/>
        </w:tabs>
        <w:spacing w:after="0" w:before="0"/>
        <w:ind w:right="0" w:firstLine="0" w:left="0"/>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DO OBJETO</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1.1. A presente Ata tem por objeto o registro de preços para a futura e eventual contratação de empresas para futuro e eventual fornecimento </w:t>
      </w:r>
      <w:r>
        <w:rPr>
          <w:rFonts w:ascii="Times New Roman" w:hAnsi="Times New Roman" w:eastAsia="Times New Roman" w:cs="Times New Roman"/>
          <w:color w:val="000000" w:themeColor="text1"/>
          <w:sz w:val="25"/>
          <w:szCs w:val="25"/>
        </w:rPr>
        <w:t xml:space="preserve">de medicamentos</w:t>
      </w:r>
      <w:r>
        <w:rPr>
          <w:rFonts w:ascii="Times New Roman" w:hAnsi="Times New Roman" w:eastAsia="Times New Roman" w:cs="Times New Roman"/>
          <w:i w:val="0"/>
          <w:iCs w:val="0"/>
          <w:sz w:val="25"/>
          <w:szCs w:val="25"/>
        </w:rPr>
        <w:t xml:space="preserve">, em atendimento ao Consórcio Intermunicipal de Saúde da Rede de U</w:t>
      </w:r>
      <w:r>
        <w:rPr>
          <w:rFonts w:ascii="Times New Roman" w:hAnsi="Times New Roman" w:eastAsia="Times New Roman" w:cs="Times New Roman"/>
          <w:i w:val="0"/>
          <w:iCs w:val="0"/>
          <w:sz w:val="25"/>
          <w:szCs w:val="25"/>
        </w:rPr>
        <w:t xml:space="preserve">rgência Centro Sul - CISRU Centro Sul, em conformidade com o Termo de Referência, Anexo  I do Edital de Licitação nº 008/2026, que é parte integrante desta Ata, assim como as propostas cujos preços tenham sido registrados, independentemente de transcrição.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1"/>
        </w:numPr>
        <w:pBdr/>
        <w:tabs>
          <w:tab w:val="clear" w:leader="none" w:pos="567"/>
        </w:tabs>
        <w:spacing w:after="0" w:before="0"/>
        <w:ind w:right="0" w:firstLine="0" w:left="0"/>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DOS PREÇOS, ESPECIFICAÇÕES E QUANTITATIVOS</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rPr>
          <w:rFonts w:ascii="Times New Roman" w:hAnsi="Times New Roman" w:cs="Times New Roman"/>
          <w:bCs w:val="0"/>
          <w:i w:val="0"/>
          <w:sz w:val="20"/>
          <w:szCs w:val="20"/>
          <w:highlight w:val="none"/>
        </w:rPr>
      </w:pPr>
      <w:r>
        <w:rPr>
          <w:rFonts w:ascii="Times New Roman" w:hAnsi="Times New Roman" w:eastAsia="Times New Roman" w:cs="Times New Roman"/>
          <w:sz w:val="25"/>
          <w:szCs w:val="25"/>
        </w:rPr>
      </w:r>
      <w:commentRangeStart w:id="3"/>
      <w:r>
        <w:rPr>
          <w:rFonts w:ascii="Times New Roman" w:hAnsi="Times New Roman" w:eastAsia="Times New Roman" w:cs="Times New Roman"/>
          <w:i w:val="0"/>
          <w:iCs w:val="0"/>
          <w:sz w:val="25"/>
          <w:szCs w:val="25"/>
        </w:rPr>
        <w:t xml:space="preserve">2.1. O preço registrado</w:t>
      </w:r>
      <w:r>
        <w:rPr>
          <w:rFonts w:ascii="Times New Roman" w:hAnsi="Times New Roman" w:eastAsia="Times New Roman" w:cs="Times New Roman"/>
          <w:i w:val="0"/>
          <w:iCs w:val="0"/>
          <w:sz w:val="25"/>
          <w:szCs w:val="25"/>
        </w:rPr>
      </w:r>
      <w:commentRangeEnd w:id="3"/>
      <w:r>
        <w:commentReference w:id="3"/>
      </w:r>
      <w:r>
        <w:rPr>
          <w:rFonts w:ascii="Times New Roman" w:hAnsi="Times New Roman" w:eastAsia="Times New Roman" w:cs="Times New Roman"/>
          <w:i w:val="0"/>
          <w:iCs w:val="0"/>
          <w:sz w:val="25"/>
          <w:szCs w:val="25"/>
        </w:rPr>
        <w:t xml:space="preserve">, as especificações do objeto, </w:t>
      </w:r>
      <w:commentRangeStart w:id="4"/>
      <w:r>
        <w:rPr>
          <w:rFonts w:ascii="Times New Roman" w:hAnsi="Times New Roman" w:eastAsia="Times New Roman" w:cs="Times New Roman"/>
          <w:i w:val="0"/>
          <w:iCs w:val="0"/>
          <w:sz w:val="25"/>
          <w:szCs w:val="25"/>
        </w:rPr>
        <w:t xml:space="preserve">as quantidades de cada item</w:t>
      </w:r>
      <w:r>
        <w:rPr>
          <w:rFonts w:ascii="Times New Roman" w:hAnsi="Times New Roman" w:eastAsia="Times New Roman" w:cs="Times New Roman"/>
          <w:i w:val="0"/>
          <w:iCs w:val="0"/>
          <w:sz w:val="25"/>
          <w:szCs w:val="25"/>
        </w:rPr>
      </w:r>
      <w:commentRangeEnd w:id="4"/>
      <w:r>
        <w:commentReference w:id="4"/>
      </w:r>
      <w:r>
        <w:rPr>
          <w:rFonts w:ascii="Times New Roman" w:hAnsi="Times New Roman" w:eastAsia="Times New Roman" w:cs="Times New Roman"/>
          <w:i w:val="0"/>
          <w:iCs w:val="0"/>
          <w:sz w:val="25"/>
          <w:szCs w:val="25"/>
        </w:rPr>
        <w:t xml:space="preserve">, fornecedores e as demais condições ofertadas nas propostas são as que seguem: </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p>
      <w:pPr>
        <w:pStyle w:val="1141"/>
        <w:numPr>
          <w:ilvl w:val="0"/>
          <w:numId w:val="0"/>
        </w:numPr>
        <w:pBdr/>
        <w:spacing w:after="0" w:before="0"/>
        <w:ind w:right="0" w:firstLine="0" w:left="0"/>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559"/>
        <w:gridCol w:w="1276"/>
        <w:gridCol w:w="1142"/>
        <w:gridCol w:w="1145"/>
        <w:gridCol w:w="1143"/>
      </w:tblGrid>
      <w:tr>
        <w:trPr>
          <w:trHeight w:val="323"/>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1: </w:t>
            </w:r>
            <w:r>
              <w:rPr>
                <w:rFonts w:ascii="Times New Roman" w:hAnsi="Times New Roman" w:eastAsia="Times New Roman" w:cs="Times New Roman"/>
                <w:b/>
                <w:bCs/>
                <w:i w:val="0"/>
                <w:iCs w:val="0"/>
                <w:sz w:val="20"/>
                <w:szCs w:val="20"/>
              </w:rPr>
              <w:t xml:space="preserve">COFARMINAS COMERCIO DE PRODUTOS FARMACEUTICOS LTDA</w:t>
            </w:r>
            <w:r>
              <w:rPr>
                <w:rFonts w:ascii="Times New Roman" w:hAnsi="Times New Roman" w:eastAsia="Times New Roman" w:cs="Times New Roman"/>
                <w:i w:val="0"/>
                <w:iCs w:val="0"/>
                <w:sz w:val="20"/>
                <w:szCs w:val="20"/>
              </w:rPr>
              <w:t xml:space="preserve">, inscrita no CNPJ/MF sob o nº 02.537.890/0001-09, sediada na Rua Tupinambas, nº 651, Bairro Carapina em Governador Valadares/MG, CEP: 35.060-530, neste ato representada por José Aldo Cordeiro de Siqueira e </w:t>
            </w:r>
            <w:r>
              <w:rPr>
                <w:rFonts w:ascii="Times New Roman" w:hAnsi="Times New Roman" w:eastAsia="Times New Roman" w:cs="Times New Roman"/>
                <w:i w:val="0"/>
                <w:iCs w:val="0"/>
                <w:sz w:val="20"/>
                <w:szCs w:val="20"/>
              </w:rPr>
              <w:t xml:space="preserve">Marcos Johnson de Almeida, sócios administradores conforme atos constitutivos da empresa; Telefones </w:t>
            </w:r>
            <w:r>
              <w:rPr>
                <w:rFonts w:ascii="Times New Roman" w:hAnsi="Times New Roman" w:eastAsia="Times New Roman" w:cs="Times New Roman"/>
                <w:i w:val="0"/>
                <w:iCs w:val="0"/>
                <w:sz w:val="20"/>
                <w:szCs w:val="20"/>
              </w:rPr>
              <w:t xml:space="preserve"> (33) 3277-9200/ 3277-9050</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 Licitação: licitacoes@cofarminas.com.br e E-mail p/ Pedidos: vendas1@cofarminas.com.br</w:t>
            </w:r>
            <w:r>
              <w:rPr>
                <w:rFonts w:ascii="Times New Roman" w:hAnsi="Times New Roman" w:eastAsia="Times New Roman" w:cs="Times New Roman"/>
                <w:i w:val="0"/>
                <w:iCs w:val="0"/>
                <w:sz w:val="20"/>
                <w:szCs w:val="20"/>
              </w:rPr>
              <w:t xml:space="preserve">  </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559"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276"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1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t xml:space="preserve">01</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Ácido Acetilsalicílico 100mg</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559"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 Brasterápica/ </w:t>
            </w:r>
            <w:r>
              <w:rPr>
                <w:rFonts w:ascii="Times New Roman" w:hAnsi="Times New Roman" w:cs="Times New Roman"/>
                <w:sz w:val="20"/>
                <w:szCs w:val="20"/>
              </w:rPr>
            </w:r>
            <w:r>
              <w:rPr>
                <w:rFonts w:ascii="Times New Roman" w:hAnsi="Times New Roman" w:cs="Times New Roman"/>
                <w:sz w:val="20"/>
                <w:szCs w:val="20"/>
              </w:rPr>
            </w:r>
          </w:p>
          <w:p>
            <w:pPr>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sz w:val="20"/>
                <w:szCs w:val="20"/>
              </w:rPr>
              <w:t xml:space="preserve">Salicetil</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276"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Comprimido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2000</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t xml:space="preserve">0,04</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t xml:space="preserve">80,00</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82"/>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t xml:space="preserve">04</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hanging="567" w:left="567"/>
              <w:jc w:val="left"/>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Água para injeção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559"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Farmace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276"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Flaconete 10mL</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4000</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0,16 </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640,00</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12</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hanging="567" w:left="567"/>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Clopidogrel 75mg</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Aurobindo</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Comprimido</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400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0,35</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140,00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13</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Cloreto de Potássio 10%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Samtec</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Flaconete 10mL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200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0,40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80,00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29</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Dipirona Sódica 500mg/mL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Farmace</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Ampola de 2mL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3000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0,45</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1.350,00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35</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Gliconato de Cálcio 10%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Halex Istar</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Flaconete de 10mL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200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1,68</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336,00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43</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Metilergometrina 0,2mg/mL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 União</w:t>
            </w:r>
            <w:r>
              <w:rPr>
                <w:rFonts w:ascii="Times New Roman" w:hAnsi="Times New Roman" w:eastAsia="Times New Roman" w:cs="Times New Roman"/>
                <w:sz w:val="20"/>
                <w:szCs w:val="20"/>
              </w:rPr>
              <w:t xml:space="preserve"> Química</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Ampola de 1mL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100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2,25</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225,00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836"/>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48</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Omeprazol 40mg + diluente próprio</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Blau</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Frasco-ampola com pó liófilo + diluente próprio de 10 ml</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300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6,67</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2.001,00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t xml:space="preserve">49</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2126" w:type="dxa"/>
            <w:vAlign w:val="center"/>
            <w:vMerge w:val="restart"/>
            <w:textDirection w:val="lrTb"/>
            <w:noWrap w:val="false"/>
          </w:tcPr>
          <w:p>
            <w:pPr>
              <w:pStyle w:val="1028"/>
              <w:widowControl w:val="false"/>
              <w:pBdr/>
              <w:spacing w:line="276" w:lineRule="auto"/>
              <w:ind w:right="0" w:firstLine="0" w:left="0"/>
              <w:jc w:val="left"/>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Salbutamol spray 100mcg/dose</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559" w:type="dxa"/>
            <w:vAlign w:val="center"/>
            <w:vMerge w:val="restart"/>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Teuto</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276" w:type="dxa"/>
            <w:vAlign w:val="center"/>
            <w:vMerge w:val="restart"/>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Frasco de 200 doses</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2"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bCs w:val="0"/>
                <w:i w:val="0"/>
                <w:sz w:val="20"/>
                <w:szCs w:val="20"/>
              </w:rPr>
              <w:t xml:space="preserve">100</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tcBorders>
            <w:tcW w:w="1145"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10,11</w:t>
            </w:r>
            <w:r>
              <w:rPr>
                <w:rFonts w:ascii="Times New Roman" w:hAnsi="Times New Roman" w:cs="Times New Roman"/>
                <w:bCs w:val="0"/>
                <w:i w:val="0"/>
                <w:sz w:val="20"/>
                <w:szCs w:val="20"/>
              </w:rPr>
            </w:r>
            <w:r>
              <w:rPr>
                <w:rFonts w:ascii="Times New Roman" w:hAnsi="Times New Roman" w:cs="Times New Roman"/>
                <w:bCs w:val="0"/>
                <w:i w:val="0"/>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rPr>
            </w:pPr>
            <w:r>
              <w:rPr>
                <w:rFonts w:ascii="Times New Roman" w:hAnsi="Times New Roman" w:eastAsia="Times New Roman" w:cs="Times New Roman"/>
                <w:bCs w:val="0"/>
                <w:i w:val="0"/>
                <w:sz w:val="20"/>
                <w:szCs w:val="20"/>
              </w:rPr>
            </w:r>
            <w:r>
              <w:rPr>
                <w:rFonts w:ascii="Times New Roman" w:hAnsi="Times New Roman" w:eastAsia="Times New Roman" w:cs="Times New Roman"/>
                <w:sz w:val="20"/>
                <w:szCs w:val="20"/>
              </w:rPr>
              <w:t xml:space="preserve">1.011,00</w:t>
            </w:r>
            <w:r>
              <w:rPr>
                <w:rFonts w:ascii="Times New Roman" w:hAnsi="Times New Roman" w:cs="Times New Roman"/>
                <w:bCs w:val="0"/>
                <w:i w:val="0"/>
                <w:sz w:val="20"/>
                <w:szCs w:val="20"/>
              </w:rPr>
            </w:r>
            <w:r>
              <w:rPr>
                <w:rFonts w:ascii="Times New Roman" w:hAnsi="Times New Roman" w:cs="Times New Roman"/>
                <w:bCs w:val="0"/>
                <w:i w:val="0"/>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firstLine="0" w:left="0"/>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R$5.863,00 (Cinco mil, oitocentos e sessenta e três reais).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hanging="567" w:left="567"/>
        <w:jc w:val="both"/>
        <w:rPr>
          <w:rFonts w:ascii="Times New Roman" w:hAnsi="Times New Roman" w:cs="Times New Roman"/>
          <w:bCs w:val="0"/>
          <w:i w:val="0"/>
          <w:sz w:val="20"/>
          <w:szCs w:val="20"/>
          <w:highlight w:val="none"/>
        </w:rPr>
      </w:pPr>
      <w:r>
        <w:rPr>
          <w:rFonts w:ascii="Times New Roman" w:hAnsi="Times New Roman" w:eastAsia="Times New Roman" w:cs="Times New Roman"/>
          <w:bCs w:val="0"/>
          <w:i w:val="0"/>
          <w:sz w:val="20"/>
          <w:szCs w:val="20"/>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p>
      <w:pPr>
        <w:pStyle w:val="1028"/>
        <w:pBdr/>
        <w:spacing/>
        <w:ind w:right="0" w:firstLine="0" w:left="-567"/>
        <w:jc w:val="both"/>
        <w:rPr>
          <w:rFonts w:ascii="Times New Roman" w:hAnsi="Times New Roman" w:cs="Times New Roman"/>
          <w:bCs w:val="0"/>
          <w:i w:val="0"/>
          <w:sz w:val="20"/>
          <w:szCs w:val="20"/>
          <w:highlight w:val="none"/>
        </w:rPr>
      </w:pP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559"/>
        <w:gridCol w:w="1276"/>
        <w:gridCol w:w="1142"/>
        <w:gridCol w:w="1145"/>
        <w:gridCol w:w="1143"/>
      </w:tblGrid>
      <w:tr>
        <w:trPr>
          <w:trHeight w:val="323"/>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2: </w:t>
            </w:r>
            <w:r>
              <w:rPr>
                <w:rFonts w:ascii="Times New Roman" w:hAnsi="Times New Roman" w:eastAsia="Times New Roman" w:cs="Times New Roman"/>
                <w:b/>
                <w:bCs/>
                <w:i w:val="0"/>
                <w:iCs w:val="0"/>
                <w:sz w:val="20"/>
                <w:szCs w:val="20"/>
              </w:rPr>
              <w:t xml:space="preserve">CONQUISTA DISTRIBUIDORA DE MEDICAMENTOS E PRODUTOS HOSPITALARES LTDA</w:t>
            </w:r>
            <w:r>
              <w:rPr>
                <w:rFonts w:ascii="Times New Roman" w:hAnsi="Times New Roman" w:eastAsia="Times New Roman" w:cs="Times New Roman"/>
                <w:b w:val="0"/>
                <w:bCs w:val="0"/>
                <w:i w:val="0"/>
                <w:iCs w:val="0"/>
                <w:sz w:val="20"/>
                <w:szCs w:val="20"/>
              </w:rPr>
              <w:t xml:space="preserve">, inscrita no CNPJ/MF sob o nº 12.418.191/0001-95, sediada na Rodovia BR 101, nº 131, KM 131, Bairro Várzea do Ranchinho em Camboriú/SC, CEP 88.349-175,  neste ato representada por Adriano </w:t>
            </w:r>
            <w:r>
              <w:rPr>
                <w:rFonts w:ascii="Times New Roman" w:hAnsi="Times New Roman" w:eastAsia="Times New Roman" w:cs="Times New Roman"/>
                <w:b w:val="0"/>
                <w:bCs w:val="0"/>
                <w:i w:val="0"/>
                <w:iCs w:val="0"/>
                <w:sz w:val="20"/>
                <w:szCs w:val="20"/>
              </w:rPr>
              <w:t xml:space="preserve">Rodrigues da Silva, sócio administrador, conforme atos constitutivos da empresa</w:t>
            </w:r>
            <w:r>
              <w:rPr>
                <w:rFonts w:ascii="Times New Roman" w:hAnsi="Times New Roman" w:eastAsia="Times New Roman" w:cs="Times New Roman"/>
                <w:i w:val="0"/>
                <w:iCs w:val="0"/>
                <w:sz w:val="20"/>
                <w:szCs w:val="20"/>
              </w:rPr>
              <w:t xml:space="preserve">; Telefones: (</w:t>
            </w:r>
            <w:r>
              <w:rPr>
                <w:rFonts w:ascii="Times New Roman" w:hAnsi="Times New Roman" w:eastAsia="Times New Roman" w:cs="Times New Roman"/>
                <w:i w:val="0"/>
                <w:iCs w:val="0"/>
                <w:sz w:val="20"/>
                <w:szCs w:val="20"/>
              </w:rPr>
              <w:t xml:space="preserve">47) 3366-7867</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 </w:t>
            </w:r>
            <w:r>
              <w:rPr>
                <w:rFonts w:ascii="Times New Roman" w:hAnsi="Times New Roman" w:eastAsia="Times New Roman" w:cs="Times New Roman"/>
                <w:i w:val="0"/>
                <w:iCs w:val="0"/>
                <w:sz w:val="20"/>
                <w:szCs w:val="20"/>
              </w:rPr>
              <w:t xml:space="preserve"> conquistamedicamentos@gmail.com</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559"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276"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174"/>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Naloxona 0,4mg/mL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55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HIPOLABOR</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27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1.014,00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R$1.014,00 (Um mil e quatorze reais) .</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Cs w:val="0"/>
          <w:i w:val="0"/>
          <w:sz w:val="20"/>
          <w:szCs w:val="20"/>
          <w:highlight w:val="none"/>
        </w:rPr>
      </w:pP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370"/>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3: </w:t>
            </w:r>
            <w:r>
              <w:rPr>
                <w:rFonts w:ascii="Times New Roman" w:hAnsi="Times New Roman" w:eastAsia="Times New Roman" w:cs="Times New Roman"/>
                <w:b/>
                <w:bCs/>
                <w:i w:val="0"/>
                <w:iCs w:val="0"/>
                <w:sz w:val="20"/>
                <w:szCs w:val="20"/>
              </w:rPr>
              <w:t xml:space="preserve">CRISTALIA PRODUTOS QUIMICOS FARMACEUTICOS LTDA,</w:t>
            </w:r>
            <w:r>
              <w:rPr>
                <w:rFonts w:ascii="Times New Roman" w:hAnsi="Times New Roman" w:eastAsia="Times New Roman" w:cs="Times New Roman"/>
                <w:b w:val="0"/>
                <w:bCs w:val="0"/>
                <w:i w:val="0"/>
                <w:iCs w:val="0"/>
                <w:sz w:val="20"/>
                <w:szCs w:val="20"/>
              </w:rPr>
              <w:t xml:space="preserve"> inscrita no CNPJ/MF sob o nº 44.734.671/0022-86, sediada na Rodovia Monsenhor Clodoaldo de Paiva, s/n, complemento KM 46.2, Bairro Loteamento Nações Unidas em Itapira/SP, CEP: 13.974-908, representada conforme</w:t>
            </w:r>
            <w:r>
              <w:rPr>
                <w:rFonts w:ascii="Times New Roman" w:hAnsi="Times New Roman" w:eastAsia="Times New Roman" w:cs="Times New Roman"/>
                <w:b w:val="0"/>
                <w:bCs w:val="0"/>
                <w:i w:val="0"/>
                <w:iCs w:val="0"/>
                <w:sz w:val="20"/>
                <w:szCs w:val="20"/>
              </w:rPr>
              <w:t xml:space="preserve"> atos constitutivos da empresa ou procuração apresentada nos autos</w:t>
            </w:r>
            <w:r>
              <w:rPr>
                <w:rFonts w:ascii="Times New Roman" w:hAnsi="Times New Roman" w:eastAsia="Times New Roman" w:cs="Times New Roman"/>
                <w:b w:val="0"/>
                <w:bCs w:val="0"/>
                <w:i w:val="0"/>
                <w:iCs w:val="0"/>
                <w:sz w:val="20"/>
                <w:szCs w:val="20"/>
              </w:rPr>
              <w:t xml:space="preserve">;</w:t>
            </w:r>
            <w:r>
              <w:rPr>
                <w:rFonts w:ascii="Times New Roman" w:hAnsi="Times New Roman" w:eastAsia="Times New Roman" w:cs="Times New Roman"/>
                <w:i w:val="0"/>
                <w:iCs w:val="0"/>
                <w:sz w:val="20"/>
                <w:szCs w:val="20"/>
              </w:rPr>
              <w:t xml:space="preserve"> Telefones </w:t>
            </w:r>
            <w:r>
              <w:rPr>
                <w:rFonts w:ascii="Times New Roman" w:hAnsi="Times New Roman" w:eastAsia="Times New Roman" w:cs="Times New Roman"/>
                <w:i w:val="0"/>
                <w:iCs w:val="0"/>
                <w:sz w:val="20"/>
                <w:szCs w:val="20"/>
              </w:rPr>
              <w:t xml:space="preserve"> (19) 3863 9843 / 3863 9482</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w:t>
            </w:r>
            <w:r>
              <w:rPr>
                <w:rFonts w:ascii="Times New Roman" w:hAnsi="Times New Roman" w:eastAsia="Times New Roman" w:cs="Times New Roman"/>
                <w:i w:val="0"/>
                <w:iCs w:val="0"/>
                <w:sz w:val="20"/>
                <w:szCs w:val="20"/>
              </w:rPr>
              <w:t xml:space="preserve"> alessandra.moraes@cristalia.com.br </w:t>
            </w:r>
            <w:r>
              <w:rPr>
                <w:rFonts w:ascii="Times New Roman" w:hAnsi="Times New Roman" w:eastAsia="Times New Roman" w:cs="Times New Roman"/>
                <w:i w:val="0"/>
                <w:iCs w:val="0"/>
                <w:sz w:val="20"/>
                <w:szCs w:val="20"/>
              </w:rPr>
              <w:t xml:space="preserve">e </w:t>
            </w:r>
            <w:r>
              <w:rPr>
                <w:rFonts w:ascii="Times New Roman" w:hAnsi="Times New Roman" w:eastAsia="Times New Roman" w:cs="Times New Roman"/>
                <w:i w:val="0"/>
                <w:iCs w:val="0"/>
                <w:sz w:val="20"/>
                <w:szCs w:val="20"/>
              </w:rPr>
              <w:t xml:space="preserve">adriano@cristalia.com.br </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174"/>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Escetamina 50mg/mL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Ampolas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2.418,00</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19</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Lidocaína a 2% geleia estéril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Bisnaga de 30g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328,00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Prometazina 25mg/mL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3,32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1.660,00 </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Etomidato 2mg/mL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10,22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2.044,00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Fenobarbital Sódico 100mg/mL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2,44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244,00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Hidralazina 20mg/ml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6,76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1.352,00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Nitroprusseto de sódio 25mg/ml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906,00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Sulfato de Morfina 10mg/mL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1,64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328,00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Tartarato de Metoprolol 1mg/mL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9,00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1.350,00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Tenoxicam 40mg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com pó liófilo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7,18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4.308,00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R$14.938,00 (Quatorze mil, novecentos e trinta e oito reais).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Cs w:val="0"/>
          <w:i w:val="0"/>
          <w:sz w:val="20"/>
          <w:szCs w:val="20"/>
          <w:highlight w:val="none"/>
        </w:rPr>
      </w:pP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370"/>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4: </w:t>
            </w:r>
            <w:r>
              <w:rPr>
                <w:rFonts w:ascii="Times New Roman" w:hAnsi="Times New Roman" w:eastAsia="Times New Roman" w:cs="Times New Roman"/>
                <w:b/>
                <w:bCs/>
                <w:i w:val="0"/>
                <w:iCs w:val="0"/>
                <w:sz w:val="20"/>
                <w:szCs w:val="20"/>
              </w:rPr>
              <w:t xml:space="preserve">EMENALLI MEDICAL LTDA, </w:t>
            </w:r>
            <w:r>
              <w:rPr>
                <w:rFonts w:ascii="Times New Roman" w:hAnsi="Times New Roman" w:eastAsia="Times New Roman" w:cs="Times New Roman"/>
                <w:b w:val="0"/>
                <w:bCs w:val="0"/>
                <w:i w:val="0"/>
                <w:iCs w:val="0"/>
                <w:sz w:val="20"/>
                <w:szCs w:val="20"/>
              </w:rPr>
              <w:t xml:space="preserve">inscrita no CNPJ/MF sob o nº 13.694.036/0001-64, sediada na Rua Castelo Setubal, nº130, Bairro Castelo em  Belo Horizonte/MG, CEP:31.330-090, neste ato representada por Regiani Menali Rodrigues Pereira, sócia única, conforme atos cons</w:t>
            </w:r>
            <w:r>
              <w:rPr>
                <w:rFonts w:ascii="Times New Roman" w:hAnsi="Times New Roman" w:eastAsia="Times New Roman" w:cs="Times New Roman"/>
                <w:b w:val="0"/>
                <w:bCs w:val="0"/>
                <w:i w:val="0"/>
                <w:iCs w:val="0"/>
                <w:sz w:val="20"/>
                <w:szCs w:val="20"/>
              </w:rPr>
              <w:t xml:space="preserve">titutivos da empresa</w:t>
            </w:r>
            <w:r>
              <w:rPr>
                <w:rFonts w:ascii="Times New Roman" w:hAnsi="Times New Roman" w:eastAsia="Times New Roman" w:cs="Times New Roman"/>
                <w:b w:val="0"/>
                <w:bCs w:val="0"/>
                <w:i w:val="0"/>
                <w:iCs w:val="0"/>
                <w:sz w:val="20"/>
                <w:szCs w:val="20"/>
              </w:rPr>
              <w:t xml:space="preserve">;</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i w:val="0"/>
                <w:iCs w:val="0"/>
                <w:sz w:val="20"/>
                <w:szCs w:val="20"/>
              </w:rPr>
              <w:t xml:space="preserve">Telefones (</w:t>
            </w:r>
            <w:r>
              <w:rPr>
                <w:rFonts w:ascii="Times New Roman" w:hAnsi="Times New Roman" w:eastAsia="Times New Roman" w:cs="Times New Roman"/>
                <w:i w:val="0"/>
                <w:iCs w:val="0"/>
                <w:sz w:val="20"/>
                <w:szCs w:val="20"/>
              </w:rPr>
              <w:t xml:space="preserve">31) 99911-540</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 comercial3@emenalimedical.com.br</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689"/>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Brometo de Vecurônio 4mg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com pó liófilo + diluente</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55,0181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11.003,62 </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Diazepam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SANTISA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w:t>
            </w:r>
            <w:r>
              <w:rPr>
                <w:rFonts w:ascii="Times New Roman" w:hAnsi="Times New Roman" w:eastAsia="Times New Roman" w:cs="Times New Roman"/>
                <w:sz w:val="20"/>
                <w:szCs w:val="20"/>
              </w:rPr>
              <w:t xml:space="preserve">,8736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w:t>
            </w:r>
            <w:r>
              <w:rPr>
                <w:rFonts w:ascii="Times New Roman" w:hAnsi="Times New Roman" w:eastAsia="Times New Roman" w:cs="Times New Roman"/>
                <w:sz w:val="20"/>
                <w:szCs w:val="20"/>
              </w:rPr>
              <w:t xml:space="preserve">24,16</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Furosemida 10mg/mL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SANTISA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Ampolas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0,70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w:t>
            </w:r>
            <w:r>
              <w:rPr>
                <w:rFonts w:ascii="Times New Roman" w:hAnsi="Times New Roman" w:eastAsia="Times New Roman" w:cs="Times New Roman"/>
                <w:sz w:val="20"/>
                <w:szCs w:val="20"/>
              </w:rPr>
              <w:t xml:space="preserve">90,00 </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Glicose 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SAMTEC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Flaconete de 10mL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7000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w:t>
            </w:r>
            <w:r>
              <w:rPr>
                <w:rFonts w:ascii="Times New Roman" w:hAnsi="Times New Roman" w:eastAsia="Times New Roman" w:cs="Times New Roman"/>
                <w:sz w:val="20"/>
                <w:szCs w:val="20"/>
              </w:rPr>
              <w:t xml:space="preserve">,4178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w:t>
            </w:r>
            <w:r>
              <w:rPr>
                <w:rFonts w:ascii="Times New Roman" w:hAnsi="Times New Roman" w:eastAsia="Times New Roman" w:cs="Times New Roman"/>
                <w:sz w:val="20"/>
                <w:szCs w:val="20"/>
              </w:rPr>
              <w:t xml:space="preserve">.924,60 </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Nitroglicerina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CRISTALIA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w:t>
            </w:r>
            <w:r>
              <w:rPr>
                <w:rFonts w:ascii="Times New Roman" w:hAnsi="Times New Roman" w:eastAsia="Times New Roman" w:cs="Times New Roman"/>
                <w:sz w:val="20"/>
                <w:szCs w:val="20"/>
              </w:rPr>
              <w:t xml:space="preserve">6,210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2.172,60 </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w:t>
            </w:r>
            <w:r>
              <w:rPr>
                <w:rFonts w:ascii="Times New Roman" w:hAnsi="Times New Roman" w:eastAsia="Times New Roman" w:cs="Times New Roman"/>
                <w:i w:val="0"/>
                <w:iCs w:val="0"/>
                <w:sz w:val="20"/>
                <w:szCs w:val="20"/>
              </w:rPr>
              <w:t xml:space="preserve">17.114,98</w:t>
            </w:r>
            <w:r>
              <w:rPr>
                <w:rFonts w:ascii="Times New Roman" w:hAnsi="Times New Roman" w:eastAsia="Times New Roman" w:cs="Times New Roman"/>
                <w:i w:val="0"/>
                <w:iCs w:val="0"/>
                <w:sz w:val="20"/>
                <w:szCs w:val="20"/>
              </w:rPr>
              <w:t xml:space="preserve"> (Dezessete mil, cento e quatorze reais e noventa e oito centavos).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Cs w:val="0"/>
          <w:i w:val="0"/>
          <w:sz w:val="20"/>
          <w:szCs w:val="20"/>
          <w:highlight w:val="none"/>
        </w:rPr>
      </w:pP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235"/>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5: </w:t>
            </w:r>
            <w:r>
              <w:rPr>
                <w:rFonts w:ascii="Times New Roman" w:hAnsi="Times New Roman" w:eastAsia="Times New Roman" w:cs="Times New Roman"/>
                <w:b/>
                <w:bCs/>
                <w:i w:val="0"/>
                <w:iCs w:val="0"/>
                <w:sz w:val="20"/>
                <w:szCs w:val="20"/>
              </w:rPr>
              <w:t xml:space="preserve">ILG COMERCIAL LTDA, </w:t>
            </w:r>
            <w:r>
              <w:rPr>
                <w:rFonts w:ascii="Times New Roman" w:hAnsi="Times New Roman" w:eastAsia="Times New Roman" w:cs="Times New Roman"/>
                <w:b w:val="0"/>
                <w:bCs w:val="0"/>
                <w:i w:val="0"/>
                <w:iCs w:val="0"/>
                <w:sz w:val="20"/>
                <w:szCs w:val="20"/>
              </w:rPr>
              <w:t xml:space="preserve">inscrito(a) no CNPJ/MF sob o nº20.657.155/0001-02, sediada na Rua Itacolomi, nº 377, Bairro La Salle em Pato Branco/PR, CEP: 85.505-050 neste ato representada por Adolfo Frederico Grams, sócio único, conforme atos constitutivos da empres</w:t>
            </w:r>
            <w:r>
              <w:rPr>
                <w:rFonts w:ascii="Times New Roman" w:hAnsi="Times New Roman" w:eastAsia="Times New Roman" w:cs="Times New Roman"/>
                <w:b w:val="0"/>
                <w:bCs w:val="0"/>
                <w:i w:val="0"/>
                <w:iCs w:val="0"/>
                <w:sz w:val="20"/>
                <w:szCs w:val="20"/>
              </w:rPr>
              <w:t xml:space="preserve">a</w:t>
            </w:r>
            <w:r>
              <w:rPr>
                <w:rFonts w:ascii="Times New Roman" w:hAnsi="Times New Roman" w:eastAsia="Times New Roman" w:cs="Times New Roman"/>
                <w:b w:val="0"/>
                <w:bCs w:val="0"/>
                <w:i w:val="0"/>
                <w:iCs w:val="0"/>
                <w:sz w:val="20"/>
                <w:szCs w:val="20"/>
              </w:rPr>
              <w:t xml:space="preserve">;</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i w:val="0"/>
                <w:iCs w:val="0"/>
                <w:sz w:val="20"/>
                <w:szCs w:val="20"/>
              </w:rPr>
              <w:t xml:space="preserve">Telefones </w:t>
            </w:r>
            <w:r>
              <w:rPr>
                <w:rFonts w:ascii="Times New Roman" w:hAnsi="Times New Roman" w:eastAsia="Times New Roman" w:cs="Times New Roman"/>
                <w:i w:val="0"/>
                <w:iCs w:val="0"/>
                <w:sz w:val="20"/>
                <w:szCs w:val="20"/>
              </w:rPr>
              <w:t xml:space="preserve">(46) 3225-1002</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w:t>
            </w:r>
            <w:r>
              <w:rPr>
                <w:rFonts w:ascii="Times New Roman" w:hAnsi="Times New Roman" w:eastAsia="Times New Roman" w:cs="Times New Roman"/>
                <w:i w:val="0"/>
                <w:iCs w:val="0"/>
                <w:sz w:val="20"/>
                <w:szCs w:val="20"/>
              </w:rPr>
              <w:t xml:space="preserve"> ilgcomercialpb@gmail.com</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689"/>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Ácido tranexâmico 50mg/ml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3,0970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2.477,60</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03</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Adenosina 3mg/mL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7,5050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1.501,00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Citrato de Fentanila 50mcg/mL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1,6800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504,00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Citrato de Fentanila 50mcg/mL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2,5555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766,65</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Amiodarona 50mg/mL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3mL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2,5289</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758,67</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23</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Ondansentrona 2mg/mL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0,7300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1.460,00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33</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Flumazenil 0,1mg/mL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4,6455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696,83</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Haloperidol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1,1305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565,25</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Hemitartarato de Norepinefrina (Noradrenalina) 2mg/mL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4mL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0,9400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470,00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Midazolam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3mL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1,5010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900,60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Succinato de Hidrocortisona 100mg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com pó liófilo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2,3560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706,80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Succinato de Hidrocortisona 500mg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NEWCOM</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com pó liófilo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3,9520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1.976,00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w:t>
            </w:r>
            <w:r>
              <w:rPr>
                <w:rFonts w:ascii="Times New Roman" w:hAnsi="Times New Roman" w:eastAsia="Times New Roman" w:cs="Times New Roman"/>
                <w:i w:val="0"/>
                <w:iCs w:val="0"/>
                <w:sz w:val="20"/>
                <w:szCs w:val="20"/>
              </w:rPr>
              <w:t xml:space="preserve">12.783,4</w:t>
            </w:r>
            <w:r>
              <w:rPr>
                <w:rFonts w:ascii="Times New Roman" w:hAnsi="Times New Roman" w:eastAsia="Times New Roman" w:cs="Times New Roman"/>
                <w:i w:val="0"/>
                <w:iCs w:val="0"/>
                <w:sz w:val="20"/>
                <w:szCs w:val="20"/>
              </w:rPr>
              <w:t xml:space="preserve">0 </w:t>
            </w:r>
            <w:r>
              <w:rPr>
                <w:rFonts w:ascii="Times New Roman" w:hAnsi="Times New Roman" w:eastAsia="Times New Roman" w:cs="Times New Roman"/>
                <w:i w:val="0"/>
                <w:iCs w:val="0"/>
                <w:sz w:val="20"/>
                <w:szCs w:val="20"/>
              </w:rPr>
              <w:t xml:space="preserve">(Doze mil, setecentos e oitenta e três reais e quarenta centavos).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
          <w:bCs w:val="0"/>
          <w:i w:val="0"/>
          <w:sz w:val="20"/>
          <w:szCs w:val="20"/>
          <w:highlight w:val="none"/>
        </w:rPr>
      </w:pPr>
      <w:r>
        <w:rPr>
          <w:rFonts w:ascii="Times New Roman" w:hAnsi="Times New Roman" w:cs="Times New Roman"/>
          <w:b/>
          <w:bCs/>
          <w:i w:val="0"/>
          <w:sz w:val="20"/>
          <w:szCs w:val="20"/>
          <w:highlight w:val="none"/>
        </w:rPr>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235"/>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6: </w:t>
            </w:r>
            <w:r>
              <w:rPr>
                <w:rFonts w:ascii="Times New Roman" w:hAnsi="Times New Roman" w:eastAsia="Times New Roman" w:cs="Times New Roman"/>
                <w:b/>
                <w:bCs/>
                <w:i w:val="0"/>
                <w:iCs w:val="0"/>
                <w:sz w:val="20"/>
                <w:szCs w:val="20"/>
              </w:rPr>
              <w:t xml:space="preserve">MEDH DISTRIBUIDORA DE MEDICAMENTOS LTDA, </w:t>
            </w:r>
            <w:r>
              <w:rPr>
                <w:rFonts w:ascii="Times New Roman" w:hAnsi="Times New Roman" w:eastAsia="Times New Roman" w:cs="Times New Roman"/>
                <w:b w:val="0"/>
                <w:bCs w:val="0"/>
                <w:i w:val="0"/>
                <w:iCs w:val="0"/>
                <w:sz w:val="20"/>
                <w:szCs w:val="20"/>
              </w:rPr>
              <w:t xml:space="preserve">inscrita no CNPJ/MF sob o nº 18.917.657/0001-83, sediada na Avenida Niagara, nº 1076,  Bairro Jardim Canada em Nova Lima/MG, CEP: 34.007-652, neste ato representada por Evandro Nader e/ou Eduardo Dias Hermeto Filho e</w:t>
            </w:r>
            <w:r>
              <w:rPr>
                <w:rFonts w:ascii="Times New Roman" w:hAnsi="Times New Roman" w:eastAsia="Times New Roman" w:cs="Times New Roman"/>
                <w:b w:val="0"/>
                <w:bCs w:val="0"/>
                <w:i w:val="0"/>
                <w:iCs w:val="0"/>
                <w:sz w:val="20"/>
                <w:szCs w:val="20"/>
              </w:rPr>
              <w:t xml:space="preserve">/ou Felipe Tavares Costa, administradores não sócios, conforme atos constitutivos da empresa; </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i w:val="0"/>
                <w:iCs w:val="0"/>
                <w:sz w:val="20"/>
                <w:szCs w:val="20"/>
              </w:rPr>
              <w:t xml:space="preserve">Telefones (</w:t>
            </w:r>
            <w:r>
              <w:rPr>
                <w:rFonts w:ascii="Times New Roman" w:hAnsi="Times New Roman" w:eastAsia="Times New Roman" w:cs="Times New Roman"/>
                <w:i w:val="0"/>
                <w:iCs w:val="0"/>
                <w:sz w:val="20"/>
                <w:szCs w:val="20"/>
              </w:rPr>
              <w:t xml:space="preserve">31) 3547-3577</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w:t>
            </w:r>
            <w:r>
              <w:rPr>
                <w:rFonts w:ascii="Times New Roman" w:hAnsi="Times New Roman" w:eastAsia="Times New Roman" w:cs="Times New Roman"/>
                <w:i w:val="0"/>
                <w:iCs w:val="0"/>
                <w:sz w:val="20"/>
                <w:szCs w:val="20"/>
              </w:rPr>
              <w:t xml:space="preserve"> compras@medhdistribuidora.com.br</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pBdr/>
              <w:spacing w:line="276" w:lineRule="auto"/>
              <w:ind w:right="0" w:hanging="567" w:left="567"/>
              <w:jc w:val="left"/>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689"/>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Dopamina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TEUTO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2,58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516,00</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Dinitrato de Isossorbida 5mg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EMS</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Comprimido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360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0,24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86,40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Fenitoína Sódica 50mg/mL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TEUTO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2,30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4.600,00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w:t>
            </w:r>
            <w:r>
              <w:rPr>
                <w:rFonts w:ascii="Times New Roman" w:hAnsi="Times New Roman" w:eastAsia="Times New Roman" w:cs="Times New Roman"/>
                <w:i w:val="0"/>
                <w:iCs w:val="0"/>
                <w:sz w:val="20"/>
                <w:szCs w:val="20"/>
              </w:rPr>
              <w:t xml:space="preserve">5.202,4</w:t>
            </w:r>
            <w:r>
              <w:rPr>
                <w:rFonts w:ascii="Times New Roman" w:hAnsi="Times New Roman" w:eastAsia="Times New Roman" w:cs="Times New Roman"/>
                <w:i w:val="0"/>
                <w:iCs w:val="0"/>
                <w:sz w:val="20"/>
                <w:szCs w:val="20"/>
              </w:rPr>
              <w:t xml:space="preserve">0</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(Cinco mil, duzentos e dois reais e quarenta centavos).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
          <w:bCs w:val="0"/>
          <w:i w:val="0"/>
          <w:sz w:val="20"/>
          <w:szCs w:val="20"/>
          <w:highlight w:val="none"/>
        </w:rPr>
      </w:pP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235"/>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7: </w:t>
            </w:r>
            <w:r>
              <w:rPr>
                <w:rFonts w:ascii="Times New Roman" w:hAnsi="Times New Roman" w:eastAsia="Times New Roman" w:cs="Times New Roman"/>
                <w:b/>
                <w:bCs/>
                <w:i w:val="0"/>
                <w:iCs w:val="0"/>
                <w:sz w:val="20"/>
                <w:szCs w:val="20"/>
              </w:rPr>
              <w:t xml:space="preserve">SOMA/MG PRODUTOS HOSPITALARES LTDA</w:t>
            </w:r>
            <w:r>
              <w:rPr>
                <w:rFonts w:ascii="Times New Roman" w:hAnsi="Times New Roman" w:eastAsia="Times New Roman" w:cs="Times New Roman"/>
                <w:b w:val="0"/>
                <w:bCs w:val="0"/>
                <w:i w:val="0"/>
                <w:iCs w:val="0"/>
                <w:sz w:val="20"/>
                <w:szCs w:val="20"/>
              </w:rPr>
              <w:t xml:space="preserve">, inscrita no CNPJ/MF sob o nº 12.927.876/0001-67, sediada na Estm. Pedro Rosa da Silva, nº 515, Bairro Morro Grande em Extrema/MG, CEP: 37.647-276, neste ato representada por Marcelo Lapinscki e/ou  Hamilton Pletsch, confo</w:t>
            </w:r>
            <w:r>
              <w:rPr>
                <w:rFonts w:ascii="Times New Roman" w:hAnsi="Times New Roman" w:eastAsia="Times New Roman" w:cs="Times New Roman"/>
                <w:b w:val="0"/>
                <w:bCs w:val="0"/>
                <w:i w:val="0"/>
                <w:iCs w:val="0"/>
                <w:sz w:val="20"/>
                <w:szCs w:val="20"/>
              </w:rPr>
              <w:t xml:space="preserve">rme atos constitutivos da empresa</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i w:val="0"/>
                <w:iCs w:val="0"/>
                <w:sz w:val="20"/>
                <w:szCs w:val="20"/>
              </w:rPr>
              <w:t xml:space="preserve">Telefones </w:t>
            </w:r>
            <w:r>
              <w:rPr>
                <w:rFonts w:ascii="Times New Roman" w:hAnsi="Times New Roman" w:eastAsia="Times New Roman" w:cs="Times New Roman"/>
                <w:i w:val="0"/>
                <w:iCs w:val="0"/>
                <w:sz w:val="20"/>
                <w:szCs w:val="20"/>
              </w:rPr>
              <w:t xml:space="preserve"> (11) 4122-9800</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E-mail:</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 licitacao4.mg@somahospitalar.com.br / licitacao1.mg@somahospitalar.com.br</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689"/>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Bicarbonato de Sódio a 8,4%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 plástico de 250 mL contendo solução estéril e apirogência para uso intravenoso, em sistema fechado.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17,74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1.862,70</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Butilbrometo de Escopolamina 20mg/mL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208,00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Butilbrometo de Escopolamina 4mg/mL + Dipirona 500mg/mL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5ml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1,38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828,00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Dobutamina 12,5mg/mL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5,43</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1.086,00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Lidocaína a 2% SEM epinefrina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de 20mL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4,07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407,00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Metoclopramida 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HALEX ISTAR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0,65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390,00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Ondansentrona 2mg/mL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4mL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0,95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1.425,00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26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Tramadol 50mg/mL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HIPOLABOR</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2mL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0,87</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696,00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39</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Hemitartarato de Epinefrina (Adrenalina) 1mg/mL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HYPOFARMA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Hemitartarato de Epinefrina (Adrenalina) 1mg/mL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0,96</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1.920,00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Sulfato de Atropina 0,25mg/mL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FARMACE</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0,78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624,00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Sulfato de Magnésio 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HALEX ISTAR </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Flaconete de 10mL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6,80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1.360,00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58</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jc w:val="left"/>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Cloridrato de Tiamina 100mg/mL (Vitamina B1)</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VASCONCELOS</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Ampola de 1mL</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500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4,74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2.370,00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color w:val="auto"/>
                <w:sz w:val="20"/>
                <w:szCs w:val="20"/>
                <w:highlight w:val="none"/>
              </w:rPr>
            </w:pPr>
            <w:r>
              <w:rPr>
                <w:rFonts w:ascii="Times New Roman" w:hAnsi="Times New Roman" w:eastAsia="Times New Roman" w:cs="Times New Roman"/>
                <w:i w:val="0"/>
                <w:iCs w:val="0"/>
                <w:color w:val="auto"/>
                <w:sz w:val="20"/>
                <w:szCs w:val="20"/>
              </w:rPr>
              <w:t xml:space="preserve">Valor total:R$13.176,70 </w:t>
            </w:r>
            <w:r>
              <w:rPr>
                <w:rFonts w:ascii="Times New Roman" w:hAnsi="Times New Roman" w:eastAsia="Times New Roman" w:cs="Times New Roman"/>
                <w:i w:val="0"/>
                <w:iCs w:val="0"/>
                <w:color w:val="auto"/>
                <w:sz w:val="20"/>
                <w:szCs w:val="20"/>
              </w:rPr>
              <w:t xml:space="preserve">(Treze mil, cento e setenta e seis reais e setenta centavos)).</w:t>
            </w:r>
            <w:r>
              <w:rPr>
                <w:rFonts w:ascii="Times New Roman" w:hAnsi="Times New Roman" w:cs="Times New Roman"/>
                <w:bCs w:val="0"/>
                <w:i w:val="0"/>
                <w:color w:val="auto"/>
                <w:sz w:val="20"/>
                <w:szCs w:val="20"/>
                <w:highlight w:val="none"/>
              </w:rPr>
            </w:r>
            <w:r>
              <w:rPr>
                <w:rFonts w:ascii="Times New Roman" w:hAnsi="Times New Roman" w:cs="Times New Roman"/>
                <w:bCs w:val="0"/>
                <w:i w:val="0"/>
                <w:color w:val="auto"/>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028"/>
        <w:pBdr/>
        <w:spacing/>
        <w:ind w:right="0" w:firstLine="0" w:left="-567"/>
        <w:jc w:val="both"/>
        <w:rPr>
          <w:rFonts w:ascii="Times New Roman" w:hAnsi="Times New Roman" w:cs="Times New Roman"/>
          <w:b/>
          <w:bCs w:val="0"/>
          <w:i w:val="0"/>
          <w:sz w:val="20"/>
          <w:szCs w:val="20"/>
          <w:highlight w:val="none"/>
        </w:rPr>
      </w:pP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tbl>
      <w:tblPr>
        <w:tblInd w:w="425" w:type="dxa"/>
        <w:tblW w:w="9252" w:type="dxa"/>
        <w:tblCellMar>
          <w:left w:w="10" w:type="dxa"/>
          <w:top w:w="0" w:type="dxa"/>
          <w:right w:w="10" w:type="dxa"/>
          <w:bottom w:w="0" w:type="dxa"/>
        </w:tblCellMar>
        <w:tblBorders/>
        <w:tblLayout w:type="fixed"/>
        <w:tblLook w:val="0000" w:firstRow="0" w:lastRow="0" w:firstColumn="0" w:lastColumn="0" w:noHBand="0" w:noVBand="0"/>
      </w:tblPr>
      <w:tblGrid>
        <w:gridCol w:w="861"/>
        <w:gridCol w:w="2126"/>
        <w:gridCol w:w="1416"/>
        <w:gridCol w:w="1419"/>
        <w:gridCol w:w="1142"/>
        <w:gridCol w:w="1145"/>
        <w:gridCol w:w="1143"/>
      </w:tblGrid>
      <w:tr>
        <w:trPr>
          <w:trHeight w:val="1235"/>
        </w:trPr>
        <w:tc>
          <w:tcPr>
            <w:gridSpan w:val="7"/>
            <w:tcBorders>
              <w:top w:val="single" w:color="000000" w:sz="2" w:space="0"/>
              <w:left w:val="single" w:color="000000" w:sz="2" w:space="0"/>
              <w:bottom w:val="single" w:color="000000" w:sz="2" w:space="0"/>
              <w:right w:val="single" w:color="000000" w:sz="2" w:space="0"/>
            </w:tcBorders>
            <w:tcW w:w="9252" w:type="dxa"/>
            <w:vAlign w:val="center"/>
            <w:textDirection w:val="lrTb"/>
            <w:noWrap w:val="false"/>
          </w:tcPr>
          <w:p>
            <w:pPr>
              <w:pStyle w:val="1028"/>
              <w:widowControl w:val="false"/>
              <w:pBdr/>
              <w:spacing w:line="276" w:lineRule="auto"/>
              <w:ind w:right="0" w:firstLine="0" w:left="0"/>
              <w:jc w:val="both"/>
              <w:rPr>
                <w:rFonts w:ascii="Times New Roman" w:hAnsi="Times New Roman" w:cs="Times New Roman"/>
                <w:bCs w:val="0"/>
                <w:i w:val="0"/>
                <w:color w:val="ff0000"/>
                <w:sz w:val="20"/>
                <w:szCs w:val="20"/>
                <w:highlight w:val="none"/>
              </w:rPr>
            </w:pPr>
            <w:r>
              <w:rPr>
                <w:rFonts w:ascii="Times New Roman" w:hAnsi="Times New Roman" w:eastAsia="Times New Roman" w:cs="Times New Roman"/>
                <w:b/>
                <w:bCs/>
                <w:i w:val="0"/>
                <w:iCs w:val="0"/>
                <w:sz w:val="20"/>
                <w:szCs w:val="20"/>
              </w:rPr>
              <w:t xml:space="preserve">Fornecedor 8: </w:t>
            </w:r>
            <w:r>
              <w:rPr>
                <w:rFonts w:ascii="Times New Roman" w:hAnsi="Times New Roman" w:eastAsia="Times New Roman" w:cs="Times New Roman"/>
                <w:b/>
                <w:bCs/>
                <w:i w:val="0"/>
                <w:iCs w:val="0"/>
                <w:sz w:val="20"/>
                <w:szCs w:val="20"/>
              </w:rPr>
              <w:t xml:space="preserve">TS FARMA DISTRIBUIDORA LTDA</w:t>
            </w:r>
            <w:r>
              <w:rPr>
                <w:rFonts w:ascii="Times New Roman" w:hAnsi="Times New Roman" w:eastAsia="Times New Roman" w:cs="Times New Roman"/>
                <w:b w:val="0"/>
                <w:bCs w:val="0"/>
                <w:i w:val="0"/>
                <w:iCs w:val="0"/>
                <w:sz w:val="20"/>
                <w:szCs w:val="20"/>
              </w:rPr>
              <w:t xml:space="preserve">, inscrita no CNPJ/MF sob o nº 21.189.554/0001-59, sediada na Alameda Engenheiro Gentil Forn, nº 1694, sala 204, Bairro São Pedro em  Juiz de Fora, CEP: 36.036-425, neste ato representada por Thalerson Sell Ferreira, sócio único, </w:t>
            </w:r>
            <w:r>
              <w:rPr>
                <w:rFonts w:ascii="Times New Roman" w:hAnsi="Times New Roman" w:eastAsia="Times New Roman" w:cs="Times New Roman"/>
                <w:b w:val="0"/>
                <w:bCs w:val="0"/>
                <w:i w:val="0"/>
                <w:iCs w:val="0"/>
                <w:sz w:val="20"/>
                <w:szCs w:val="20"/>
              </w:rPr>
              <w:t xml:space="preserve">conforme atos constitutivos da empresa</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Telefones </w:t>
            </w:r>
            <w:r>
              <w:rPr>
                <w:rFonts w:ascii="Times New Roman" w:hAnsi="Times New Roman" w:eastAsia="Times New Roman" w:cs="Times New Roman"/>
                <w:b w:val="0"/>
                <w:bCs w:val="0"/>
                <w:i w:val="0"/>
                <w:iCs w:val="0"/>
                <w:sz w:val="20"/>
                <w:szCs w:val="20"/>
              </w:rPr>
              <w:t xml:space="preserve">(32)3224-1389</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E-mail:</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 tsfarma.licita@gmail.com</w:t>
            </w:r>
            <w:r>
              <w:rPr>
                <w:rFonts w:ascii="Times New Roman" w:hAnsi="Times New Roman" w:cs="Times New Roman"/>
                <w:bCs w:val="0"/>
                <w:i w:val="0"/>
                <w:color w:val="ff0000"/>
                <w:sz w:val="20"/>
                <w:szCs w:val="20"/>
                <w:highlight w:val="none"/>
              </w:rPr>
            </w:r>
            <w:r>
              <w:rPr>
                <w:rFonts w:ascii="Times New Roman" w:hAnsi="Times New Roman" w:cs="Times New Roman"/>
                <w:bCs w:val="0"/>
                <w:i w:val="0"/>
                <w:color w:val="ff0000"/>
                <w:sz w:val="20"/>
                <w:szCs w:val="20"/>
                <w:highlight w:val="none"/>
              </w:rPr>
            </w:r>
          </w:p>
        </w:tc>
      </w:tr>
      <w:tr>
        <w:trPr>
          <w:trHeight w:val="674"/>
        </w:trPr>
        <w:tc>
          <w:tcPr>
            <w:tcBorders>
              <w:left w:val="single" w:color="000000" w:sz="2" w:space="0"/>
              <w:bottom w:val="single" w:color="000000" w:sz="2" w:space="0"/>
            </w:tcBorders>
            <w:tcW w:w="861"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Item</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212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Especificação*</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6"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 Fabricante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419"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2" w:type="dxa"/>
            <w:vAlign w:val="center"/>
            <w:textDirection w:val="lrTb"/>
            <w:noWrap w:val="false"/>
          </w:tcPr>
          <w:p>
            <w:pPr>
              <w:pStyle w:val="1028"/>
              <w:widowControl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Quantidade</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tcBorders>
            <w:tcW w:w="1145" w:type="dxa"/>
            <w:vAlign w:val="center"/>
            <w:textDirection w:val="lrTb"/>
            <w:noWrap w:val="false"/>
          </w:tcPr>
          <w:p>
            <w:pPr>
              <w:pStyle w:val="1028"/>
              <w:widowControl w:val="false"/>
              <w:pBdr/>
              <w:spacing w:line="276" w:lineRule="auto"/>
              <w:ind w:right="0" w:hanging="567" w:left="567"/>
              <w:jc w:val="center"/>
              <w:rPr>
                <w:rFonts w:ascii="Times New Roman" w:hAnsi="Times New Roman" w:cs="Times New Roman"/>
                <w:b/>
                <w:bCs w:val="0"/>
                <w:i w:val="0"/>
                <w:sz w:val="20"/>
                <w:szCs w:val="20"/>
                <w:highlight w:val="none"/>
              </w:rPr>
            </w:pPr>
            <w:r>
              <w:rPr>
                <w:rFonts w:ascii="Times New Roman" w:hAnsi="Times New Roman" w:eastAsia="Times New Roman" w:cs="Times New Roman"/>
                <w:b/>
                <w:bCs/>
                <w:i w:val="0"/>
                <w:iCs w:val="0"/>
                <w:sz w:val="20"/>
                <w:szCs w:val="20"/>
              </w:rPr>
              <w:t xml:space="preserve">Valor</w:t>
            </w:r>
            <w:r>
              <w:rPr>
                <w:rFonts w:ascii="Times New Roman" w:hAnsi="Times New Roman" w:cs="Times New Roman"/>
                <w:b/>
                <w:bCs w:val="0"/>
                <w:i w:val="0"/>
                <w:sz w:val="20"/>
                <w:szCs w:val="20"/>
                <w:highlight w:val="none"/>
              </w:rPr>
            </w:r>
            <w:r>
              <w:rPr>
                <w:rFonts w:ascii="Times New Roman" w:hAnsi="Times New Roman" w:cs="Times New Roman"/>
                <w:b/>
                <w:bCs w:val="0"/>
                <w:i w:val="0"/>
                <w:sz w:val="20"/>
                <w:szCs w:val="20"/>
                <w:highlight w:val="none"/>
              </w:rPr>
            </w:r>
          </w:p>
          <w:p>
            <w:pPr>
              <w:pStyle w:val="1028"/>
              <w:widowControl w:val="false"/>
              <w:pBdr/>
              <w:spacing w:line="276" w:lineRule="auto"/>
              <w:ind w:right="0" w:hanging="567" w:left="567"/>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Unitário 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c>
          <w:tcPr>
            <w:tcBorders>
              <w:left w:val="single" w:color="000000" w:sz="2" w:space="0"/>
              <w:bottom w:val="single" w:color="000000" w:sz="2" w:space="0"/>
              <w:right w:val="single" w:color="000000" w:sz="2" w:space="0"/>
            </w:tcBorders>
            <w:tcW w:w="1143" w:type="dxa"/>
            <w:vAlign w:val="center"/>
            <w:textDirection w:val="lrTb"/>
            <w:noWrap w:val="false"/>
          </w:tcPr>
          <w:p>
            <w:pPr>
              <w:pStyle w:val="1028"/>
              <w:widowControl w:val="false"/>
              <w:suppressLineNumbers w:val="false"/>
              <w:pBdr/>
              <w:spacing w:line="276" w:lineRule="auto"/>
              <w:ind w:right="0" w:firstLine="0" w:left="0"/>
              <w:jc w:val="center"/>
              <w:rPr>
                <w:rFonts w:ascii="Times New Roman" w:hAnsi="Times New Roman" w:cs="Times New Roman"/>
                <w:bCs w:val="0"/>
                <w:i w:val="0"/>
                <w:sz w:val="20"/>
                <w:szCs w:val="20"/>
                <w:highlight w:val="none"/>
              </w:rPr>
            </w:pPr>
            <w:r>
              <w:rPr>
                <w:rFonts w:ascii="Times New Roman" w:hAnsi="Times New Roman" w:eastAsia="Times New Roman" w:cs="Times New Roman"/>
                <w:b/>
                <w:bCs/>
                <w:i w:val="0"/>
                <w:iCs w:val="0"/>
                <w:sz w:val="20"/>
                <w:szCs w:val="20"/>
              </w:rPr>
              <w:t xml:space="preserve">Valor total </w:t>
            </w:r>
            <w:r>
              <w:rPr>
                <w:rFonts w:ascii="Times New Roman" w:hAnsi="Times New Roman" w:eastAsia="Times New Roman" w:cs="Times New Roman"/>
                <w:b/>
                <w:bCs/>
                <w:i w:val="0"/>
                <w:iCs w:val="0"/>
                <w:sz w:val="20"/>
                <w:szCs w:val="20"/>
              </w:rPr>
              <w:t xml:space="preserve">R$</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689"/>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09</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Captopril 25mg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CIMED</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Comprimido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2000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0,04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80,00</w:t>
            </w:r>
            <w:r>
              <w:rPr>
                <w:rFonts w:ascii="Times New Roman" w:hAnsi="Times New Roman" w:cs="Times New Roman"/>
                <w:sz w:val="20"/>
                <w:szCs w:val="20"/>
              </w:rPr>
            </w:r>
            <w:r>
              <w:rPr>
                <w:rFonts w:ascii="Times New Roman" w:hAnsi="Times New Roman" w:cs="Times New Roman"/>
                <w:sz w:val="20"/>
                <w:szCs w:val="20"/>
              </w:rPr>
            </w:r>
          </w:p>
        </w:tc>
      </w:tr>
      <w:tr>
        <w:trPr>
          <w:trHeight w:val="282"/>
        </w:trPr>
        <w:tc>
          <w:tcPr>
            <w:tcBorders>
              <w:left w:val="single" w:color="000000" w:sz="2" w:space="0"/>
              <w:bottom w:val="single" w:color="000000" w:sz="2" w:space="0"/>
            </w:tcBorders>
            <w:tcW w:w="861"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14</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textDirection w:val="lrTb"/>
            <w:noWrap w:val="false"/>
          </w:tcPr>
          <w:p>
            <w:pPr>
              <w:pBdr/>
              <w:spacing/>
              <w:ind/>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Cloreto de Suxametônio 100mg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UNIAO QUIMICA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Frasco-ampola com pó liófilo</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250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14,99</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3.747,50</w:t>
            </w:r>
            <w:r>
              <w:rPr>
                <w:rFonts w:ascii="Times New Roman" w:hAnsi="Times New Roman" w:cs="Times New Roman"/>
                <w:sz w:val="20"/>
                <w:szCs w:val="20"/>
              </w:rPr>
            </w:r>
            <w:r>
              <w:rPr>
                <w:rFonts w:ascii="Times New Roman" w:hAnsi="Times New Roman" w:cs="Times New Roman"/>
                <w:sz w:val="20"/>
                <w:szCs w:val="20"/>
              </w:rPr>
            </w:r>
          </w:p>
        </w:tc>
      </w:tr>
      <w:tr>
        <w:trPr>
          <w:trHeight w:val="476"/>
        </w:trPr>
        <w:tc>
          <w:tcPr>
            <w:tcBorders>
              <w:left w:val="single" w:color="000000" w:sz="2" w:space="0"/>
              <w:bottom w:val="single" w:color="000000" w:sz="2" w:space="0"/>
            </w:tcBorders>
            <w:tcW w:w="861"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t xml:space="preserve">45</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2126" w:type="dxa"/>
            <w:vAlign w:val="center"/>
            <w:vMerge w:val="restart"/>
            <w:textDirection w:val="lrTb"/>
            <w:noWrap w:val="false"/>
          </w:tcPr>
          <w:p>
            <w:pPr>
              <w:pBdr/>
              <w:spacing/>
              <w:ind/>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Nifedipino 10mg</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6"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UNIAO QUIMICA</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419"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Comprimido simples</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2"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210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tcBorders>
            <w:tcW w:w="1145"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0,12</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2" w:space="0"/>
              <w:bottom w:val="single" w:color="000000" w:sz="2" w:space="0"/>
              <w:right w:val="single" w:color="000000" w:sz="2" w:space="0"/>
            </w:tcBorders>
            <w:tcW w:w="1143" w:type="dxa"/>
            <w:vAlign w:val="center"/>
            <w:vMerge w:val="restart"/>
            <w:textDirection w:val="lrTb"/>
            <w:noWrap w:val="false"/>
          </w:tcPr>
          <w:p>
            <w:pPr>
              <w:pBdr/>
              <w:spacing/>
              <w:ind/>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25,20</w:t>
            </w:r>
            <w:r>
              <w:rPr>
                <w:rFonts w:ascii="Times New Roman" w:hAnsi="Times New Roman" w:cs="Times New Roman"/>
                <w:sz w:val="20"/>
                <w:szCs w:val="20"/>
              </w:rPr>
            </w:r>
            <w:r>
              <w:rPr>
                <w:rFonts w:ascii="Times New Roman" w:hAnsi="Times New Roman" w:cs="Times New Roman"/>
                <w:sz w:val="20"/>
                <w:szCs w:val="20"/>
              </w:rPr>
            </w:r>
          </w:p>
        </w:tc>
      </w:tr>
      <w:tr>
        <w:trPr>
          <w:trHeight w:val="264"/>
        </w:trPr>
        <w:tc>
          <w:tcPr>
            <w:gridSpan w:val="7"/>
            <w:tcBorders>
              <w:left w:val="single" w:color="000000" w:sz="2" w:space="0"/>
              <w:bottom w:val="single" w:color="000000" w:sz="2" w:space="0"/>
            </w:tcBorders>
            <w:tcW w:w="9252" w:type="dxa"/>
            <w:vAlign w:val="center"/>
            <w:textDirection w:val="lrTb"/>
            <w:noWrap w:val="false"/>
          </w:tcPr>
          <w:p>
            <w:pPr>
              <w:pStyle w:val="1028"/>
              <w:widowControl w:val="false"/>
              <w:pBdr/>
              <w:spacing w:line="276" w:lineRule="auto"/>
              <w:ind w:right="0" w:hanging="567" w:left="567"/>
              <w:jc w:val="right"/>
              <w:rPr>
                <w:rFonts w:ascii="Times New Roman" w:hAnsi="Times New Roman" w:cs="Times New Roman"/>
                <w:bCs w:val="0"/>
                <w:i w:val="0"/>
                <w:sz w:val="20"/>
                <w:szCs w:val="20"/>
                <w:highlight w:val="none"/>
              </w:rPr>
            </w:pPr>
            <w:r>
              <w:rPr>
                <w:rFonts w:ascii="Times New Roman" w:hAnsi="Times New Roman" w:eastAsia="Times New Roman" w:cs="Times New Roman"/>
                <w:i w:val="0"/>
                <w:iCs w:val="0"/>
                <w:sz w:val="20"/>
                <w:szCs w:val="20"/>
              </w:rPr>
              <w:t xml:space="preserve">Valor total: R$</w:t>
            </w:r>
            <w:r>
              <w:rPr>
                <w:rFonts w:ascii="Times New Roman" w:hAnsi="Times New Roman" w:eastAsia="Times New Roman" w:cs="Times New Roman"/>
                <w:i w:val="0"/>
                <w:iCs w:val="0"/>
                <w:sz w:val="20"/>
                <w:szCs w:val="20"/>
              </w:rPr>
              <w:t xml:space="preserve">3.852,7</w:t>
            </w:r>
            <w:r>
              <w:rPr>
                <w:rFonts w:ascii="Times New Roman" w:hAnsi="Times New Roman" w:eastAsia="Times New Roman" w:cs="Times New Roman"/>
                <w:i w:val="0"/>
                <w:iCs w:val="0"/>
                <w:sz w:val="20"/>
                <w:szCs w:val="20"/>
              </w:rPr>
              <w:t xml:space="preserve">0</w:t>
            </w:r>
            <w:r>
              <w:rPr>
                <w:rFonts w:ascii="Times New Roman" w:hAnsi="Times New Roman" w:eastAsia="Times New Roman" w:cs="Times New Roman"/>
                <w:i w:val="0"/>
                <w:iCs w:val="0"/>
                <w:sz w:val="20"/>
                <w:szCs w:val="20"/>
              </w:rPr>
              <w:t xml:space="preserve"> </w:t>
            </w:r>
            <w:r>
              <w:rPr>
                <w:rFonts w:ascii="Times New Roman" w:hAnsi="Times New Roman" w:eastAsia="Times New Roman" w:cs="Times New Roman"/>
                <w:i w:val="0"/>
                <w:iCs w:val="0"/>
                <w:sz w:val="20"/>
                <w:szCs w:val="20"/>
              </w:rPr>
              <w:t xml:space="preserve">(Três mil, oitocentos e cinquenta e dois reais e setenta centavos).</w:t>
            </w:r>
            <w:r>
              <w:rPr>
                <w:rFonts w:ascii="Times New Roman" w:hAnsi="Times New Roman" w:cs="Times New Roman"/>
                <w:bCs w:val="0"/>
                <w:i w:val="0"/>
                <w:sz w:val="20"/>
                <w:szCs w:val="20"/>
                <w:highlight w:val="none"/>
              </w:rPr>
            </w:r>
            <w:r>
              <w:rPr>
                <w:rFonts w:ascii="Times New Roman" w:hAnsi="Times New Roman" w:cs="Times New Roman"/>
                <w:bCs w:val="0"/>
                <w:i w:val="0"/>
                <w:sz w:val="20"/>
                <w:szCs w:val="20"/>
                <w:highlight w:val="none"/>
              </w:rPr>
            </w:r>
          </w:p>
        </w:tc>
      </w:tr>
      <w:tr>
        <w:trPr>
          <w:trHeight w:val="264"/>
        </w:trPr>
        <w:tc>
          <w:tcPr>
            <w:gridSpan w:val="7"/>
            <w:tcBorders>
              <w:left w:val="single" w:color="000000" w:sz="2" w:space="0"/>
              <w:bottom w:val="single" w:color="000000" w:sz="2" w:space="0"/>
            </w:tcBorders>
            <w:tcW w:w="9252" w:type="dxa"/>
            <w:vAlign w:val="center"/>
            <w:vMerge w:val="restart"/>
            <w:textDirection w:val="lrTb"/>
            <w:noWrap w:val="false"/>
          </w:tcPr>
          <w:p>
            <w:pPr>
              <w:widowControl w:val="false"/>
              <w:pBdr/>
              <w:spacing w:line="276" w:lineRule="auto"/>
              <w:ind w:right="0" w:firstLine="0" w:left="0"/>
              <w:jc w:val="both"/>
              <w:rPr>
                <w:rFonts w:ascii="Times New Roman" w:hAnsi="Times New Roman" w:cs="Times New Roman"/>
                <w:i w:val="0"/>
                <w:iCs w:val="0"/>
                <w:color w:val="000000" w:themeColor="text1"/>
                <w:sz w:val="20"/>
                <w:szCs w:val="20"/>
                <w:highlight w:val="none"/>
              </w:rPr>
            </w:pPr>
            <w:r>
              <w:rPr>
                <w:rFonts w:ascii="Times New Roman" w:hAnsi="Times New Roman" w:eastAsia="Times New Roman" w:cs="Times New Roman"/>
                <w:i w:val="0"/>
                <w:iCs w:val="0"/>
                <w:color w:val="000000" w:themeColor="text1"/>
                <w:sz w:val="20"/>
                <w:szCs w:val="20"/>
                <w:highlight w:val="none"/>
              </w:rPr>
              <w:t xml:space="preserve">Especificação*: Conforme estabelecido no termo de referência – Anexo I do edital nº 008/2026, no julgamento e na proposta comercial da empresa.</w:t>
            </w:r>
            <w:r>
              <w:rPr>
                <w:rFonts w:ascii="Times New Roman" w:hAnsi="Times New Roman" w:cs="Times New Roman"/>
                <w:i w:val="0"/>
                <w:iCs w:val="0"/>
                <w:color w:val="000000" w:themeColor="text1"/>
                <w:sz w:val="20"/>
                <w:szCs w:val="20"/>
                <w:highlight w:val="none"/>
              </w:rPr>
            </w:r>
            <w:r>
              <w:rPr>
                <w:rFonts w:ascii="Times New Roman" w:hAnsi="Times New Roman" w:cs="Times New Roman"/>
                <w:i w:val="0"/>
                <w:iCs w:val="0"/>
                <w:color w:val="000000" w:themeColor="text1"/>
                <w:sz w:val="20"/>
                <w:szCs w:val="20"/>
                <w:highlight w:val="none"/>
              </w:rPr>
            </w:r>
          </w:p>
        </w:tc>
      </w:tr>
    </w:tbl>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2.1. </w:t>
      </w:r>
      <w:r>
        <w:rPr>
          <w:rFonts w:ascii="Times New Roman" w:hAnsi="Times New Roman" w:eastAsia="Times New Roman" w:cs="Times New Roman"/>
          <w:i w:val="0"/>
          <w:iCs w:val="0"/>
          <w:sz w:val="25"/>
          <w:szCs w:val="25"/>
          <w:lang w:eastAsia="en-US"/>
        </w:rPr>
        <w:t xml:space="preserve">Não há listagem do cadastro de reserva.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1"/>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color w:val="e46c0a" w:themeColor="accent6" w:themeShade="BF"/>
          <w:sz w:val="25"/>
          <w:szCs w:val="25"/>
        </w:rPr>
      </w:r>
      <w:commentRangeStart w:id="5"/>
      <w:r>
        <w:rPr>
          <w:rFonts w:ascii="Times New Roman" w:hAnsi="Times New Roman" w:eastAsia="Times New Roman" w:cs="Times New Roman"/>
          <w:color w:val="e46c0a" w:themeColor="accent6" w:themeShade="BF"/>
          <w:sz w:val="25"/>
          <w:szCs w:val="25"/>
        </w:rPr>
      </w:r>
      <w:commentRangeStart w:id="6"/>
      <w:r>
        <w:rPr>
          <w:rFonts w:ascii="Times New Roman" w:hAnsi="Times New Roman" w:eastAsia="Times New Roman" w:cs="Times New Roman"/>
          <w:i w:val="0"/>
          <w:iCs w:val="0"/>
          <w:color w:val="e46c0a" w:themeColor="accent6" w:themeShade="BF"/>
          <w:sz w:val="25"/>
          <w:szCs w:val="25"/>
        </w:rPr>
        <w:t xml:space="preserve">ÓRGÃO(S) GERENCIADOR E  PARTICIPANTE(S)</w:t>
      </w:r>
      <w:r>
        <w:rPr>
          <w:rFonts w:ascii="Times New Roman" w:hAnsi="Times New Roman" w:eastAsia="Times New Roman" w:cs="Times New Roman"/>
          <w:i w:val="0"/>
          <w:iCs w:val="0"/>
          <w:color w:val="e46c0a" w:themeColor="accent6" w:themeShade="BF"/>
          <w:sz w:val="25"/>
          <w:szCs w:val="25"/>
        </w:rPr>
      </w:r>
      <w:commentRangeEnd w:id="6"/>
      <w:r>
        <w:commentReference w:id="6"/>
      </w:r>
      <w:r>
        <w:rPr>
          <w:rFonts w:ascii="Times New Roman" w:hAnsi="Times New Roman" w:eastAsia="Times New Roman" w:cs="Times New Roman"/>
          <w:color w:val="e46c0a" w:themeColor="accent6" w:themeShade="BF"/>
          <w:sz w:val="25"/>
          <w:szCs w:val="25"/>
        </w:rPr>
      </w:r>
      <w:commentRangeEnd w:id="5"/>
      <w:r>
        <w:commentReference w:id="5"/>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3.1. O órgão gerenciador será o CISRU Centro Sul.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2"/>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color w:val="auto"/>
          <w:sz w:val="25"/>
          <w:szCs w:val="25"/>
        </w:rPr>
        <w:t xml:space="preserve">3.2. Não há outros órgãos e entidades públicas participantes do registro de preços.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2"/>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1"/>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DA ADESÃO À ATA DE REGISTRO DE PREÇOS </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9"/>
        <w:pBdr/>
        <w:spacing w:after="0" w:afterAutospacing="0" w:before="0" w:beforeAutospacing="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lang w:eastAsia="en-US"/>
        </w:rPr>
        <w:t xml:space="preserve">4.1.  </w:t>
      </w:r>
      <w:commentRangeStart w:id="7"/>
      <w:r>
        <w:rPr>
          <w:rFonts w:ascii="Times New Roman" w:hAnsi="Times New Roman" w:eastAsia="Times New Roman" w:cs="Times New Roman"/>
          <w:i w:val="0"/>
          <w:iCs w:val="0"/>
          <w:sz w:val="25"/>
          <w:szCs w:val="25"/>
          <w:lang w:eastAsia="en-US"/>
        </w:rPr>
        <w:t xml:space="preserve">Não será admitida a adesão à ata de registro de preços </w:t>
      </w:r>
      <w:r>
        <w:rPr>
          <w:rFonts w:ascii="Times New Roman" w:hAnsi="Times New Roman" w:eastAsia="Times New Roman" w:cs="Times New Roman"/>
          <w:i w:val="0"/>
          <w:iCs w:val="0"/>
          <w:sz w:val="25"/>
          <w:szCs w:val="25"/>
          <w:lang w:eastAsia="en-US"/>
        </w:rPr>
      </w:r>
      <w:commentRangeEnd w:id="7"/>
      <w:r>
        <w:commentReference w:id="7"/>
      </w:r>
      <w:r>
        <w:rPr>
          <w:rFonts w:ascii="Times New Roman" w:hAnsi="Times New Roman" w:eastAsia="Times New Roman" w:cs="Times New Roman"/>
          <w:i w:val="0"/>
          <w:iCs w:val="0"/>
          <w:sz w:val="25"/>
          <w:szCs w:val="25"/>
          <w:lang w:eastAsia="en-US"/>
        </w:rPr>
        <w:t xml:space="preserve">decorrente desta licitação, tendo em vista a </w:t>
      </w:r>
      <w:r>
        <w:rPr>
          <w:rStyle w:val="1104"/>
          <w:rFonts w:ascii="Times New Roman" w:hAnsi="Times New Roman" w:eastAsia="Times New Roman" w:cs="Times New Roman"/>
          <w:i w:val="0"/>
          <w:iCs w:val="0"/>
          <w:sz w:val="25"/>
          <w:szCs w:val="25"/>
        </w:rPr>
        <w:t xml:space="preserve">capacidade de gerenciamento do CISRU Centro Sul, devido ao número reduzido de empregados públicos para garantir o adequado gerenciamento, conforme exige o art. 7º do Decreto Federal n° 11.462/2023.</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2"/>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1"/>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VALIDADE, FORMALIZAÇÃO DA ATA DE REGISTRO DE PREÇOS E CADASTRO RESERVA</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 A validade da Ata de Registro de Preços será de 1 (um) ano, contado a </w:t>
      </w:r>
      <w:commentRangeStart w:id="8"/>
      <w:r>
        <w:rPr>
          <w:rFonts w:ascii="Times New Roman" w:hAnsi="Times New Roman" w:eastAsia="Times New Roman" w:cs="Times New Roman"/>
          <w:i w:val="0"/>
          <w:iCs w:val="0"/>
          <w:sz w:val="25"/>
          <w:szCs w:val="25"/>
        </w:rPr>
        <w:t xml:space="preserve">partir</w:t>
      </w:r>
      <w:r>
        <w:rPr>
          <w:rFonts w:ascii="Times New Roman" w:hAnsi="Times New Roman" w:eastAsia="Times New Roman" w:cs="Times New Roman"/>
          <w:i w:val="0"/>
          <w:iCs w:val="0"/>
          <w:sz w:val="25"/>
          <w:szCs w:val="25"/>
        </w:rPr>
      </w:r>
      <w:commentRangeEnd w:id="8"/>
      <w:r>
        <w:commentReference w:id="8"/>
      </w:r>
      <w:r>
        <w:rPr>
          <w:rFonts w:ascii="Times New Roman" w:hAnsi="Times New Roman" w:eastAsia="Times New Roman" w:cs="Times New Roman"/>
          <w:i w:val="0"/>
          <w:iCs w:val="0"/>
          <w:sz w:val="25"/>
          <w:szCs w:val="25"/>
        </w:rPr>
        <w:t xml:space="preserve"> do primeiro dia útil subsequente à data de divulgação no PNCP, podendo ser prorrogada por igual período, mediante a anuência dos fornecedores, desde que comprovado o preço vantajoso.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5.1.1.  O contrato decorrente da ata de registro de preços, caso haja, terá sua vigência estabelecida no próprio instrumento contratual e observará no momento da contratação e a cada exercício financeiro a disponibilidade de créditos orçamentários.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5.1.2. Na formalização do contrato ou do instrumento substituto deverá haver a indicação da disponibilidade dos créditos orçamentários respectivos.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5.2. A con</w:t>
      </w:r>
      <w:r>
        <w:rPr>
          <w:rFonts w:ascii="Times New Roman" w:hAnsi="Times New Roman" w:eastAsia="Times New Roman" w:cs="Times New Roman"/>
          <w:i w:val="0"/>
          <w:iCs w:val="0"/>
          <w:sz w:val="25"/>
          <w:szCs w:val="25"/>
        </w:rPr>
        <w:t xml:space="preserve">tratação com os fornecedores registrados na ata será formalizada pelo Consórcio por intermédio de instrumento contratual, emissão de nota de empenho de despesa, autorização de compra ou outro instrumento hábil, conforme o art. 95 da Lei nº 14.133, de 2021.</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5.2.1.  O instrumento contratual de que trata o item 5.2. deverá ser assinado no prazo de validade da ata de registro de preços.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5.3. Os contratos decorrentes do sistema de registro de preços poderão ser alterados, observado o art. 1a24 da Lei nº 14.133, de 2021.</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 Após a homologação da licitação, deverão ser observadas as seguintes condições para formalização da ata de registro de preços: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5.4.1. Serão registrados na ata os preços e os quantita</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vos do adjudicatário;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5.4.2. Será incluído na ata, na forma de anexo, o registro dos licitantes ou dos fornecedores que:</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6"/>
        <w:numPr>
          <w:ilvl w:val="0"/>
          <w:numId w:val="0"/>
        </w:numPr>
        <w:pBdr/>
        <w:spacing w:after="0" w:before="0"/>
        <w:ind w:right="0" w:firstLine="0" w:left="567"/>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5.4.2.1. Aceitarem cotar os bens, as obras ou os serviços com preços iguais aos do adjudicatário, observada a classificação da licitação; e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6"/>
        <w:numPr>
          <w:ilvl w:val="0"/>
          <w:numId w:val="0"/>
        </w:numPr>
        <w:pBdr/>
        <w:spacing w:after="0" w:before="0"/>
        <w:ind w:right="0" w:firstLine="0" w:left="567"/>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5.4.2.2. Mantiverem sua proposta original.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5.4.3. Será respeitada, nas contratações, a ordem de classificação dos licitantes ou dos fornecedores registrados na ata.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5.5. O registro a que se refere o item 5.4.2</w:t>
      </w:r>
      <w:r>
        <w:rPr>
          <w:rFonts w:ascii="Times New Roman" w:hAnsi="Times New Roman" w:eastAsia="Times New Roman" w:cs="Times New Roman"/>
          <w:b/>
          <w:bCs/>
          <w:i w:val="0"/>
          <w:iCs w:val="0"/>
          <w:sz w:val="25"/>
          <w:szCs w:val="25"/>
        </w:rPr>
        <w:t xml:space="preserve"> </w:t>
      </w:r>
      <w:r>
        <w:rPr>
          <w:rFonts w:ascii="Times New Roman" w:hAnsi="Times New Roman" w:eastAsia="Times New Roman" w:cs="Times New Roman"/>
          <w:i w:val="0"/>
          <w:iCs w:val="0"/>
          <w:sz w:val="25"/>
          <w:szCs w:val="25"/>
        </w:rPr>
        <w:t xml:space="preserve">tem por obje</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vo a formação de cadastro de reserva para o caso de impossibilidade de atendimento pelo signatário da ata.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5.6. Para fins da ordem de classificação, os licitantes ou fornecedores que aceitarem reduzir suas propostas para o preço do adjudicatário antecederão aqueles que mantiverem sua proposta original.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5.7. A habilitação dos licitantes que comporão o cadastro de reserva a que se refere </w:t>
      </w:r>
      <w:r>
        <w:rPr>
          <w:rFonts w:ascii="Times New Roman" w:hAnsi="Times New Roman" w:cs="Times New Roman"/>
          <w:i w:val="0"/>
          <w:iCs w:val="0"/>
          <w:sz w:val="24"/>
          <w:szCs w:val="24"/>
          <w:highlight w:val="none"/>
        </w:rPr>
        <w:t xml:space="preserve"> o item </w:t>
      </w:r>
      <w:r>
        <w:rPr>
          <w:rFonts w:ascii="Times New Roman" w:hAnsi="Times New Roman" w:cs="Times New Roman"/>
          <w:i w:val="0"/>
          <w:iCs w:val="0"/>
          <w:sz w:val="24"/>
          <w:szCs w:val="24"/>
          <w:highlight w:val="none"/>
        </w:rPr>
        <w:fldChar w:fldCharType="begin"/>
      </w:r>
      <w:r>
        <w:rPr>
          <w:rFonts w:ascii="Times New Roman" w:hAnsi="Times New Roman" w:cs="Times New Roman"/>
          <w:i w:val="0"/>
          <w:iCs w:val="0"/>
          <w:sz w:val="24"/>
          <w:szCs w:val="24"/>
          <w:highlight w:val="none"/>
        </w:rPr>
        <w:instrText xml:space="preserve"> REF cadastro_reserva \r \h  \* MERGEFORMAT </w:instrText>
      </w:r>
      <w:r>
        <w:rPr>
          <w:rFonts w:ascii="Times New Roman" w:hAnsi="Times New Roman" w:cs="Times New Roman"/>
          <w:i w:val="0"/>
          <w:iCs w:val="0"/>
          <w:sz w:val="24"/>
          <w:szCs w:val="24"/>
          <w:highlight w:val="none"/>
        </w:rPr>
        <w:fldChar w:fldCharType="separate"/>
      </w:r>
      <w:r>
        <w:rPr>
          <w:rFonts w:ascii="Times New Roman" w:hAnsi="Times New Roman" w:cs="Times New Roman"/>
          <w:i w:val="0"/>
          <w:iCs w:val="0"/>
          <w:sz w:val="24"/>
          <w:szCs w:val="24"/>
          <w:highlight w:val="none"/>
        </w:rPr>
        <w:t xml:space="preserve">5.4.2.2</w:t>
      </w:r>
      <w:r>
        <w:rPr>
          <w:rFonts w:ascii="Times New Roman" w:hAnsi="Times New Roman" w:cs="Times New Roman"/>
          <w:i w:val="0"/>
          <w:iCs w:val="0"/>
          <w:sz w:val="24"/>
          <w:szCs w:val="24"/>
          <w:highlight w:val="none"/>
        </w:rPr>
        <w:fldChar w:fldCharType="end"/>
      </w:r>
      <w:r>
        <w:rPr>
          <w:rFonts w:ascii="Times New Roman" w:hAnsi="Times New Roman" w:eastAsia="Times New Roman" w:cs="Times New Roman"/>
          <w:i w:val="0"/>
          <w:iCs w:val="0"/>
          <w:sz w:val="25"/>
          <w:szCs w:val="25"/>
        </w:rPr>
        <w:t xml:space="preserve"> s</w:t>
      </w:r>
      <w:r>
        <w:rPr>
          <w:rFonts w:ascii="Times New Roman" w:hAnsi="Times New Roman" w:eastAsia="Times New Roman" w:cs="Times New Roman"/>
          <w:i w:val="0"/>
          <w:iCs w:val="0"/>
          <w:sz w:val="25"/>
          <w:szCs w:val="25"/>
        </w:rPr>
        <w:t xml:space="preserve">omente será efetuada quando houver necessidade de contratação dos licitantes remanescentes, nas seguintes hipóteses: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5.7.1. Quando o licitante vencedor não assinar a ata de registro de preços, no prazo e nas condições estabelecidos no edital; e</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5.7.2. Quando houver o cancelamento do registro do licitante ou do registro de preços nas hipóteses previstas no item</w:t>
      </w:r>
      <w:r>
        <w:rPr>
          <w:rFonts w:ascii="Times New Roman" w:hAnsi="Times New Roman" w:eastAsia="Times New Roman" w:cs="Times New Roman"/>
          <w:i w:val="0"/>
          <w:iCs w:val="0"/>
          <w:sz w:val="25"/>
          <w:szCs w:val="25"/>
          <w:highlight w:val="none"/>
        </w:rPr>
        <w:t xml:space="preserve"> 9.</w:t>
      </w:r>
      <w:r>
        <w:rPr>
          <w:rFonts w:ascii="Times New Roman" w:hAnsi="Times New Roman" w:eastAsia="Times New Roman" w:cs="Times New Roman"/>
          <w:i w:val="0"/>
          <w:iCs w:val="0"/>
          <w:sz w:val="25"/>
          <w:szCs w:val="25"/>
          <w:highlight w:val="yellow"/>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5.8. O preço registrado com indicação dos licitantes e fornecedores será divulgado no PNCP e ficará disponibilizado durante a vigência da ata de registro de preços.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5.9. Após a homologação da licitação ou da contratação direta, o licitante mais bem classificado ou o fornecedor, no caso da contrataç</w:t>
      </w:r>
      <w:r>
        <w:rPr>
          <w:rFonts w:ascii="Times New Roman" w:hAnsi="Times New Roman" w:eastAsia="Times New Roman" w:cs="Times New Roman"/>
          <w:i w:val="0"/>
          <w:iCs w:val="0"/>
          <w:sz w:val="25"/>
          <w:szCs w:val="25"/>
        </w:rPr>
        <w:t xml:space="preserve">ão direta, será convocado para assinar a ata de registro de preços, no prazo e nas condições estabelecidos no edital de licitação ou no aviso de contratação direta, sob pena de decair o direito, sem prejuízo das sanções previstas na Lei nº 14.133, de 2021.</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5.9</w:t>
      </w:r>
      <w:r>
        <w:rPr>
          <w:rFonts w:ascii="Times New Roman" w:hAnsi="Times New Roman" w:eastAsia="Times New Roman" w:cs="Times New Roman"/>
          <w:i w:val="0"/>
          <w:iCs w:val="0"/>
          <w:sz w:val="25"/>
          <w:szCs w:val="25"/>
        </w:rPr>
        <w:t xml:space="preserve">.1. O prazo de convocação poderá ser prorrogado 1 (uma) vez, por igual período, mediante solicitação do licitante ou fornecedor convocado, desde que apresentada dentro do prazo, devidamente justificada, e que a justificativa seja aceita pela Administração.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5.10. A ata de registro de preços será assinada por meio de assinatura digital e disponibilizada no Sistema de Registro de Preços.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283"/>
        <w:jc w:val="both"/>
        <w:rPr>
          <w:rFonts w:ascii="Times New Roman" w:hAnsi="Times New Roman" w:cs="Times New Roman"/>
          <w:bCs w:val="0"/>
          <w:i w:val="0"/>
          <w:color w:val="ff0000"/>
          <w:sz w:val="25"/>
          <w:szCs w:val="25"/>
          <w:highlight w:val="none"/>
        </w:rPr>
      </w:pPr>
      <w:r>
        <w:rPr>
          <w:rFonts w:ascii="Times New Roman" w:hAnsi="Times New Roman" w:eastAsia="Times New Roman" w:cs="Times New Roman"/>
          <w:i w:val="0"/>
          <w:iCs w:val="0"/>
          <w:sz w:val="25"/>
          <w:szCs w:val="25"/>
        </w:rPr>
        <w:t xml:space="preserve">5.10.1. Serão aceitas como válidas a assinatura eletrônica avançada e a assinatura eletrônica qualificada.</w:t>
      </w:r>
      <w:r>
        <w:rPr>
          <w:rFonts w:ascii="Times New Roman" w:hAnsi="Times New Roman" w:cs="Times New Roman"/>
          <w:bCs w:val="0"/>
          <w:i w:val="0"/>
          <w:color w:val="ff0000"/>
          <w:sz w:val="25"/>
          <w:szCs w:val="25"/>
          <w:highlight w:val="none"/>
        </w:rPr>
      </w:r>
      <w:r>
        <w:rPr>
          <w:rFonts w:ascii="Times New Roman" w:hAnsi="Times New Roman" w:cs="Times New Roman"/>
          <w:bCs w:val="0"/>
          <w:i w:val="0"/>
          <w:color w:val="ff000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5.11. Quando o convocado não assinar a ata de registro de preços no prazo e nas condições estabelecidos no edital ou no aviso de contratação, e observado o disposto no item 5.7.</w:t>
      </w:r>
      <w:r>
        <w:rPr>
          <w:rFonts w:ascii="Times New Roman" w:hAnsi="Times New Roman" w:eastAsia="Times New Roman" w:cs="Times New Roman"/>
          <w:i w:val="0"/>
          <w:iCs w:val="0"/>
          <w:sz w:val="25"/>
          <w:szCs w:val="25"/>
        </w:rPr>
        <w:t xml:space="preserve"> e subitens, fica facultado à Administração convocar os licitantes remanescentes do cadastro de reserva, na ordem de classificação, para fazê-lo em igual prazo e nas condições propostas pelo primeiro classificado.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5.12. Na hipótese de nenhum dos licitantes que trata o item 5.4.2.1, aceitar a contratação nos termos do item anterior, a Administração, observados o valor es</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mado e sua eventual atualização nos termos do edital, poderá:</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5.12.1. Convocar para negociação os demais licitantes ou fornecedores remanescentes cujos preços foram registrados sem redução, observada a ordem de classificação, com vistas à obtenção de preço melhor, mesmo que acima do preço do adjudicatário; ou</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5.12.2. Adjudicar e firmar o contrato nas condições ofertadas pelos licitantes ou fornecedores remanescentes, atendida a ordem classificatória, quando frustrada a negociação de melhor condição.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5.13. A </w:t>
      </w:r>
      <w:r>
        <w:rPr>
          <w:rFonts w:ascii="Times New Roman" w:hAnsi="Times New Roman" w:eastAsia="Times New Roman" w:cs="Times New Roman"/>
          <w:i w:val="0"/>
          <w:iCs w:val="0"/>
          <w:sz w:val="25"/>
          <w:szCs w:val="25"/>
        </w:rPr>
        <w:t xml:space="preserve">existência de preços registrados implicará compromisso de fornecimento nas condições estabelecidas, mas não obrigará a Administração a contratar, facultada a realização de licitação específica para a aquisição pretendida, desde que devidamente justificada.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0"/>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6.  ALTERAÇÃO OU ATUALIZAÇÃO DOS PREÇOS REGISTRADOS</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sz w:val="25"/>
          <w:szCs w:val="25"/>
        </w:rPr>
        <w:t xml:space="preserve">6.1. Os preços registrados poderão ser alterados ou atualizados em decorrência de eventual redução dos preços pra</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cados no mercado ou de fato que eleve o custo dos bens, das obras ou dos serviços registrados, na</w:t>
      </w:r>
      <w:r>
        <w:rPr>
          <w:rFonts w:ascii="Times New Roman" w:hAnsi="Times New Roman" w:eastAsia="Times New Roman" w:cs="Times New Roman"/>
          <w:i w:val="0"/>
          <w:iCs w:val="0"/>
          <w:color w:val="000000" w:themeColor="text1"/>
          <w:sz w:val="25"/>
          <w:szCs w:val="25"/>
        </w:rPr>
        <w:t xml:space="preserve">s seguintes situações:</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6.1.1. E</w:t>
      </w:r>
      <w:commentRangeStart w:id="9"/>
      <w:r>
        <w:rPr>
          <w:rFonts w:ascii="Times New Roman" w:hAnsi="Times New Roman" w:eastAsia="Times New Roman" w:cs="Times New Roman"/>
          <w:i w:val="0"/>
          <w:iCs w:val="0"/>
          <w:color w:val="000000" w:themeColor="text1"/>
          <w:sz w:val="25"/>
          <w:szCs w:val="25"/>
        </w:rPr>
        <w:t xml:space="preserve">m caso de força maior, caso</w:t>
      </w:r>
      <w:r>
        <w:rPr>
          <w:rFonts w:ascii="Times New Roman" w:hAnsi="Times New Roman" w:eastAsia="Times New Roman" w:cs="Times New Roman"/>
          <w:i w:val="0"/>
          <w:iCs w:val="0"/>
          <w:color w:val="000000" w:themeColor="text1"/>
          <w:sz w:val="25"/>
          <w:szCs w:val="25"/>
        </w:rPr>
        <w:t xml:space="preserve"> fortuito ou fato do príncipe ou em decorrência de fatos imprevisíveis ou previsíveis de consequências incalculáveis, que inviabilizem a execução da ata tal como pactuada, nos termos da alínea “d” do inciso II do caput do art. 124 da Lei nº 14.133, de 2021</w:t>
      </w:r>
      <w:r>
        <w:rPr>
          <w:rFonts w:ascii="Times New Roman" w:hAnsi="Times New Roman" w:eastAsia="Times New Roman" w:cs="Times New Roman"/>
          <w:i w:val="0"/>
          <w:iCs w:val="0"/>
          <w:color w:val="000000" w:themeColor="text1"/>
          <w:sz w:val="25"/>
          <w:szCs w:val="25"/>
        </w:rPr>
      </w:r>
      <w:commentRangeEnd w:id="9"/>
      <w:r>
        <w:commentReference w:id="9"/>
      </w:r>
      <w:r>
        <w:rPr>
          <w:rFonts w:ascii="Times New Roman" w:hAnsi="Times New Roman" w:eastAsia="Times New Roman" w:cs="Times New Roman"/>
          <w:i w:val="0"/>
          <w:iCs w:val="0"/>
          <w:color w:val="000000" w:themeColor="text1"/>
          <w:sz w:val="25"/>
          <w:szCs w:val="25"/>
        </w:rPr>
        <w:t xml:space="preserve">;</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6.1.2. Em caso de criação, alteração ou ex</w:t>
      </w:r>
      <w:r>
        <w:rPr>
          <w:rFonts w:ascii="Times New Roman" w:hAnsi="Times New Roman" w:eastAsia="Times New Roman" w:cs="Times New Roman"/>
          <w:i w:val="0"/>
          <w:iCs w:val="0"/>
          <w:color w:val="000000" w:themeColor="text1"/>
          <w:sz w:val="25"/>
          <w:szCs w:val="25"/>
        </w:rPr>
        <w:t xml:space="preserve">ti</w:t>
      </w:r>
      <w:r>
        <w:rPr>
          <w:rFonts w:ascii="Times New Roman" w:hAnsi="Times New Roman" w:eastAsia="Times New Roman" w:cs="Times New Roman"/>
          <w:i w:val="0"/>
          <w:iCs w:val="0"/>
          <w:color w:val="000000" w:themeColor="text1"/>
          <w:sz w:val="25"/>
          <w:szCs w:val="25"/>
        </w:rPr>
        <w:t xml:space="preserve">nção de quaisquer tributos ou encargos legais ou a superveniência de disposições legais, com comprovada repercussão sobre os preços registrados; </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6.1.3. Na hipótese de previsão no edital ou no aviso de contratação direta de cláusula de reajustamento ou repactuação sobre os preços registrados, nos termos da Lei nº 14.133, de 2021.</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6"/>
        <w:numPr>
          <w:ilvl w:val="0"/>
          <w:numId w:val="0"/>
        </w:numPr>
        <w:pBdr/>
        <w:spacing w:after="0" w:before="0"/>
        <w:ind w:right="0" w:firstLine="0" w:left="567"/>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6.1.3.1. No caso do reajustamento, deverá ser respeitada a contagem da anualidade e o índice previsto para a contratação;  </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6"/>
        <w:numPr>
          <w:ilvl w:val="0"/>
          <w:numId w:val="0"/>
        </w:numPr>
        <w:pBdr/>
        <w:spacing w:after="0" w:before="0"/>
        <w:ind w:right="0" w:firstLine="0" w:left="567"/>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6.1.3.2. No caso da repactuação, poderá ser a pedido do interessado, conforme critérios definidos para a contratação.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6"/>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0"/>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7.  NEGOCIAÇÃO DE PREÇOS REGISTRADOS</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7.1. Na hipótese de o preço registrado tornar-se superior ao preço pra</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cado no mercado por mo</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vo superveniente, o Consórcio convocará o fornecedor para negociar a redução do preço registrado.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7.1.1. Caso não aceite reduzir seu preço aos valores pra</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cados pelo mercado, o fornecedor será liberado do compromisso assumido quanto ao item registrado, sem aplicação de penalidades administrativas.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7.1.2. Na hipótese prevista no item anterior, o gerenciador convocará os fornecedores do cadastro de reserva, na ordem de classificação, para verificar se aceitam reduzir seus preços aos valores de mercado e não convocará o</w:t>
      </w:r>
      <w:commentRangeStart w:id="10"/>
      <w:r>
        <w:rPr>
          <w:rFonts w:ascii="Times New Roman" w:hAnsi="Times New Roman" w:eastAsia="Times New Roman" w:cs="Times New Roman"/>
          <w:i w:val="0"/>
          <w:iCs w:val="0"/>
          <w:sz w:val="25"/>
          <w:szCs w:val="25"/>
        </w:rPr>
        <w:t xml:space="preserve">s licitantes ou fornecedores que tiveram seu registro cancelado.</w:t>
      </w:r>
      <w:r>
        <w:rPr>
          <w:rFonts w:ascii="Times New Roman" w:hAnsi="Times New Roman" w:eastAsia="Times New Roman" w:cs="Times New Roman"/>
          <w:i w:val="0"/>
          <w:iCs w:val="0"/>
          <w:sz w:val="25"/>
          <w:szCs w:val="25"/>
        </w:rPr>
      </w:r>
      <w:commentRangeEnd w:id="10"/>
      <w:r>
        <w:commentReference w:id="10"/>
      </w:r>
      <w:r>
        <w:rPr>
          <w:rFonts w:ascii="Times New Roman" w:hAnsi="Times New Roman" w:eastAsia="Times New Roman" w:cs="Times New Roman"/>
          <w:i w:val="0"/>
          <w:iCs w:val="0"/>
          <w:sz w:val="25"/>
          <w:szCs w:val="25"/>
        </w:rPr>
        <w:t xml:space="preserve">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7.1.3. Se não obtiver êxito nas negociações, o Consórcio procederá ao cancelamento da ata de registro de preços, adotando as medidas cabíveis para obtenção de contratação mais vantajosa.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7.2. Na hipótese de o preço de mercado tornar-se superior ao preço registrado </w:t>
      </w:r>
      <w:r>
        <w:rPr>
          <w:rFonts w:ascii="Times New Roman" w:hAnsi="Times New Roman" w:eastAsia="Times New Roman" w:cs="Times New Roman"/>
          <w:i w:val="0"/>
          <w:iCs w:val="0"/>
          <w:sz w:val="25"/>
          <w:szCs w:val="25"/>
        </w:rPr>
        <w:t xml:space="preserve">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7.2.1. Neste caso, o fornecedor encaminhará, juntamente com o pedido de alteração, a documentação comprobatória ou a planilha de custos que demonstre a inviabilidade do preço registrado em </w:t>
      </w:r>
      <w:r>
        <w:rPr>
          <w:rFonts w:ascii="Times New Roman" w:hAnsi="Times New Roman" w:eastAsia="Times New Roman" w:cs="Times New Roman"/>
          <w:i w:val="0"/>
          <w:iCs w:val="0"/>
          <w:sz w:val="25"/>
          <w:szCs w:val="25"/>
          <w:highlight w:val="none"/>
        </w:rPr>
        <w:t xml:space="preserve">relação às condições inicialmente pactuadas.</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highlight w:val="none"/>
        </w:rPr>
        <w:t xml:space="preserve">7.2.2. Na hipótese de</w:t>
      </w:r>
      <w:r>
        <w:rPr>
          <w:rFonts w:ascii="Times New Roman" w:hAnsi="Times New Roman" w:eastAsia="Times New Roman" w:cs="Times New Roman"/>
          <w:i w:val="0"/>
          <w:iCs w:val="0"/>
          <w:sz w:val="25"/>
          <w:szCs w:val="25"/>
          <w:highlight w:val="none"/>
        </w:rPr>
        <w:t xml:space="preserve"> não comprovação da existência de fato superveniente que inviabilize o preço registrado, o pedido será indeferido pelo Consórcio e o fornecedor deverá cumprir as obrigações estabelecidas na ata, sob pena de cancelamento do seu registro, nos termos do item</w:t>
      </w:r>
      <w:r>
        <w:rPr>
          <w:rFonts w:ascii="Times New Roman" w:hAnsi="Times New Roman" w:eastAsia="Times New Roman" w:cs="Times New Roman"/>
          <w:i w:val="0"/>
          <w:iCs w:val="0"/>
          <w:sz w:val="25"/>
          <w:szCs w:val="25"/>
          <w:highlight w:val="none"/>
        </w:rPr>
        <w:t xml:space="preserve"> 9.1.</w:t>
      </w:r>
      <w:r>
        <w:rPr>
          <w:rFonts w:ascii="Times New Roman" w:hAnsi="Times New Roman" w:eastAsia="Times New Roman" w:cs="Times New Roman"/>
          <w:i w:val="0"/>
          <w:iCs w:val="0"/>
          <w:sz w:val="25"/>
          <w:szCs w:val="25"/>
          <w:highlight w:val="none"/>
        </w:rPr>
        <w:t xml:space="preserve">, </w:t>
      </w:r>
      <w:r>
        <w:rPr>
          <w:rFonts w:ascii="Times New Roman" w:hAnsi="Times New Roman" w:eastAsia="Times New Roman" w:cs="Times New Roman"/>
          <w:i w:val="0"/>
          <w:iCs w:val="0"/>
          <w:sz w:val="25"/>
          <w:szCs w:val="25"/>
          <w:highlight w:val="none"/>
        </w:rPr>
        <w:t xml:space="preserve">sem prejuízo das sanções previstas na Lei nº 14.133, de 2021, e na legislação aplicável.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7.2.3. Na hipót</w:t>
      </w:r>
      <w:r>
        <w:rPr>
          <w:rFonts w:ascii="Times New Roman" w:hAnsi="Times New Roman" w:eastAsia="Times New Roman" w:cs="Times New Roman"/>
          <w:i w:val="0"/>
          <w:iCs w:val="0"/>
          <w:sz w:val="25"/>
          <w:szCs w:val="25"/>
        </w:rPr>
        <w:t xml:space="preserve">ese de cancelamento do registro do fornecedor, nos termos do item anterior, o Consórcio convocará os fornecedores do cadastro de reserva, na ordem de classificação, para verificar </w:t>
      </w:r>
      <w:r>
        <w:rPr>
          <w:rFonts w:ascii="Times New Roman" w:hAnsi="Times New Roman" w:eastAsia="Times New Roman" w:cs="Times New Roman"/>
          <w:i w:val="0"/>
          <w:iCs w:val="0"/>
          <w:sz w:val="25"/>
          <w:szCs w:val="25"/>
          <w:highlight w:val="none"/>
        </w:rPr>
        <w:t xml:space="preserve">se aceitam manter seus preços registrados, observado o disposto no item 5.7.</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highlight w:val="none"/>
        </w:rPr>
        <w:t xml:space="preserve">7.2.4. Se não obtiver êxito nas negociações, o Consórcio procederá ao cancelamento da ata de registro de preços, nos termos do item 9.4.</w:t>
      </w:r>
      <w:r>
        <w:rPr>
          <w:rFonts w:ascii="Times New Roman" w:hAnsi="Times New Roman" w:eastAsia="Times New Roman" w:cs="Times New Roman"/>
          <w:i w:val="0"/>
          <w:iCs w:val="0"/>
          <w:sz w:val="25"/>
          <w:szCs w:val="25"/>
          <w:highlight w:val="none"/>
        </w:rPr>
        <w:t xml:space="preserve">, </w:t>
      </w:r>
      <w:r>
        <w:rPr>
          <w:rFonts w:ascii="Times New Roman" w:hAnsi="Times New Roman" w:eastAsia="Times New Roman" w:cs="Times New Roman"/>
          <w:i w:val="0"/>
          <w:iCs w:val="0"/>
          <w:sz w:val="25"/>
          <w:szCs w:val="25"/>
          <w:highlight w:val="none"/>
        </w:rPr>
        <w:t xml:space="preserve">e</w:t>
      </w:r>
      <w:r>
        <w:rPr>
          <w:rFonts w:ascii="Times New Roman" w:hAnsi="Times New Roman" w:eastAsia="Times New Roman" w:cs="Times New Roman"/>
          <w:i w:val="0"/>
          <w:iCs w:val="0"/>
          <w:sz w:val="25"/>
          <w:szCs w:val="25"/>
        </w:rPr>
        <w:t xml:space="preserve"> adotará as medidas cabíveis para a obtenção da contratação mais vantajosa.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highlight w:val="none"/>
        </w:rPr>
        <w:t xml:space="preserve">7.2.5. Na hipótese de comprovação da majoração do preço de mercado que inviabilize o preço registrado, </w:t>
      </w:r>
      <w:r>
        <w:rPr>
          <w:rFonts w:ascii="Times New Roman" w:hAnsi="Times New Roman" w:eastAsia="Times New Roman" w:cs="Times New Roman"/>
          <w:i w:val="0"/>
          <w:iCs w:val="0"/>
          <w:sz w:val="25"/>
          <w:szCs w:val="25"/>
          <w:highlight w:val="none"/>
        </w:rPr>
        <w:t xml:space="preserve">conforme previsto no item 7.2 e no item 7.2.1,</w:t>
      </w:r>
      <w:r>
        <w:rPr>
          <w:rFonts w:ascii="Times New Roman" w:hAnsi="Times New Roman" w:eastAsia="Times New Roman" w:cs="Times New Roman"/>
          <w:i w:val="0"/>
          <w:iCs w:val="0"/>
          <w:sz w:val="25"/>
          <w:szCs w:val="25"/>
          <w:highlight w:val="none"/>
        </w:rPr>
        <w:t xml:space="preserve"> </w:t>
      </w:r>
      <w:r>
        <w:rPr>
          <w:rFonts w:ascii="Times New Roman" w:hAnsi="Times New Roman" w:eastAsia="Times New Roman" w:cs="Times New Roman"/>
          <w:i w:val="0"/>
          <w:iCs w:val="0"/>
          <w:sz w:val="25"/>
          <w:szCs w:val="25"/>
        </w:rPr>
        <w:t xml:space="preserve">o Consórcio atualizará o preço registrado, de acordo com a realidade dos valores praticados pelo mercado.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0"/>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8. </w:t>
      </w:r>
      <w:r>
        <w:rPr>
          <w:rFonts w:ascii="Times New Roman" w:hAnsi="Times New Roman" w:eastAsia="Times New Roman" w:cs="Times New Roman"/>
          <w:b/>
          <w:bCs/>
          <w:i w:val="0"/>
          <w:iCs w:val="0"/>
          <w:color w:val="e46c0a" w:themeColor="accent6" w:themeShade="BF"/>
          <w:sz w:val="25"/>
          <w:szCs w:val="25"/>
        </w:rPr>
        <w:t xml:space="preserve"> DAS OBRIGAÇÕES DA DETENTORA</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028"/>
        <w:pBdr/>
        <w:spacing w:line="276" w:lineRule="auto"/>
        <w:ind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color w:val="000000" w:themeColor="text1"/>
          <w:sz w:val="25"/>
          <w:szCs w:val="25"/>
        </w:rPr>
        <w:t xml:space="preserve">8.1. A Detentora da Ata deve cumprir todas as obrigações constantes no Edital, seus anexos e sua proposta, assumindo como exclusivamente seus os riscos e as despesas decorrentes da boa e perfeita execução do objeto e, ainda: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028"/>
        <w:pBdr/>
        <w:spacing w:line="276" w:lineRule="auto"/>
        <w:ind w:left="283"/>
        <w:jc w:val="both"/>
        <w:rPr>
          <w:rFonts w:ascii="Times New Roman" w:hAnsi="Times New Roman" w:cs="Times New Roman"/>
          <w:sz w:val="25"/>
          <w:szCs w:val="25"/>
          <w:highlight w:val="none"/>
        </w:rPr>
      </w:pPr>
      <w:r>
        <w:rPr>
          <w:rFonts w:ascii="Times New Roman" w:hAnsi="Times New Roman" w:eastAsia="Times New Roman" w:cs="Times New Roman"/>
          <w:i w:val="0"/>
          <w:iCs w:val="0"/>
          <w:color w:val="000000" w:themeColor="text1"/>
          <w:sz w:val="25"/>
          <w:szCs w:val="25"/>
        </w:rPr>
        <w:t xml:space="preserve">8.1.1. Assinar a Ata de Registro de Preços;</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i w:val="0"/>
          <w:iCs w:val="0"/>
          <w:color w:val="000000" w:themeColor="text1"/>
          <w:sz w:val="25"/>
          <w:szCs w:val="25"/>
        </w:rPr>
        <w:t xml:space="preserve">8.1.2. </w:t>
      </w:r>
      <w:r>
        <w:rPr>
          <w:rFonts w:ascii="Times New Roman" w:hAnsi="Times New Roman" w:eastAsia="Times New Roman" w:cs="Times New Roman"/>
          <w:sz w:val="25"/>
          <w:szCs w:val="25"/>
        </w:rPr>
        <w:t xml:space="preserve">Cumprir todas as obrigações constantes no Edital, seus anexos e sua proposta, assumindo como exclusivamente seus os riscos e as despesas decorrentes da boa e perfeita execução do objeto;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3. Responsabilizar-se integralmente por todos os encargos trabalhistas, tributários, entre outros, seguros, em relação ao objeto da Licitação;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4. Entregar em um prazo de até 15 (quinze) dias, a partir do recebimento da Autorização de Fornecimento, na sede do CISRU Centro Sul, localizada na Rodovia BR265, nº 1501, Bairro Grogotó em Barbacena/MG, de segunda a sexta-feira entre 8h e 16h;</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567"/>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4.1. Os produtos deverão estar acompanhados da respectiva nota fiscal, devendo ser observada a retenção do imposto de renda retido na fonte sobre a taxa de administração, nos termos da Instrução Normativa nº 1234/2012, da Receita Federa</w:t>
      </w:r>
      <w:r>
        <w:rPr>
          <w:rFonts w:ascii="Times New Roman" w:hAnsi="Times New Roman" w:eastAsia="Times New Roman" w:cs="Times New Roman"/>
          <w:sz w:val="25"/>
          <w:szCs w:val="25"/>
        </w:rPr>
        <w:t xml:space="preserve">l do Brasil, sob a aplicação da alíquota de 1,20% (um vírgula vinte por cento) conforme previsto no Anexo I da IN RFB 1234/2012, editada nos termos do art. 64 da Lei Federal nº 9.430/1996, aplicado por extensão aos pagamentos realizados por este Consórcio.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567"/>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4.2. Entregar os medicamentos com prazo de validade transcorrido em no máximo 20% (vinte por cento) do período total.</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567"/>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4.3. Entregar dos medicamentos  na embalagem original, em perfeito estado, sem sinais de violação, sem aderência ao produto, umidade, sem inadequação de conteúdo, conforme a R</w:t>
      </w:r>
      <w:r>
        <w:rPr>
          <w:rFonts w:ascii="Times New Roman" w:hAnsi="Times New Roman" w:eastAsia="Times New Roman" w:cs="Times New Roman"/>
          <w:sz w:val="25"/>
          <w:szCs w:val="25"/>
        </w:rPr>
        <w:t xml:space="preserve">DC nº 80/2006 da ANVISA não poderá haver fracionamento dos medicamentos, caso a quantidade solicitada não esteja de acordo com o quantitativo da fabricante, o fornecedor deverá entrar em contato com a farmácia do CISRU Centro Sul, para adequação do pedido.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.5. Providenciar a imediata correção das deficiências, falhas ou irregularidades constatadas pela CONTRATANTE, referentes à entrega dos bens e ao cumprimento das demais obrigações assumidas neste;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w:t>
      </w:r>
      <w:r>
        <w:rPr>
          <w:rFonts w:ascii="Times New Roman" w:hAnsi="Times New Roman" w:eastAsia="Times New Roman" w:cs="Times New Roman"/>
          <w:sz w:val="25"/>
          <w:szCs w:val="25"/>
        </w:rPr>
        <w:t xml:space="preserve">1.6. Responsabilizar-se integralmente pelos bens fornecidos, nos termos da legislação vigente;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w:t>
      </w:r>
      <w:r>
        <w:rPr>
          <w:rFonts w:ascii="Times New Roman" w:hAnsi="Times New Roman" w:eastAsia="Times New Roman" w:cs="Times New Roman"/>
          <w:sz w:val="25"/>
          <w:szCs w:val="25"/>
        </w:rPr>
        <w:t xml:space="preserve">1.7. Designar por escrito, no ato da assinatura da Ata de Registro de Preços, preposto(s) que tenham poderes para resolução de possíveis ocorrências durante a execução deste;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.8. Ressarcir ao Consórcio ou terceiros, por prejuízos suportados, em razão de ação ou omissão voluntária, negligência,imprudência ou imperícia de seus empregados, durante a execução ou em razão dos bens aqui objetivados;</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.9. Responder por todo e qualquer dano que venha a ser causado por seus prepostos, à Administração ou à terceiros, durante o fornecimento dos bens, podendo ser descontado do pagamento a ser efetuado o valor do prejuízo apurado.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10. Manter durante a execução da Ata de registro de preço, todas as condições de habilitação e qualificação técnica exigidas na licitação, mediante a entrega de nova documentação, sempre que aquela estiver vencida, sob pena de suspensão de pagamento.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.11. Em caso de irregularidade não sanada pela contratada, a Administração, por meio de seu representante, reduzirá a termo os fatos ocorridos e encaminhará à autoridade competente para que sejam tomadas as providências legais pertinentes.</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12. Cumprir, dentro dos prazos estabelecidos, as obrigações expressamente previstas no edital e seus anexos, no instrumento de contratação e de outras decorrentes da natureza dos bens fornecidos;</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13. Zelar e garantir a boa qualidade do fornecimento dos bens, em consonância com os parâmetros de qualidade fixados e exigidos pelas normas técnicas pertinentes, expedidas pelo Poder Público;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276" w:lineRule="auto"/>
        <w:ind w:right="0" w:firstLine="0" w:left="283"/>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8.1.</w:t>
      </w:r>
      <w:r>
        <w:rPr>
          <w:rFonts w:ascii="Times New Roman" w:hAnsi="Times New Roman" w:eastAsia="Times New Roman" w:cs="Times New Roman"/>
          <w:sz w:val="25"/>
          <w:szCs w:val="25"/>
        </w:rPr>
        <w:t xml:space="preserve">14. Observ</w:t>
      </w:r>
      <w:r>
        <w:rPr>
          <w:rFonts w:ascii="Times New Roman" w:hAnsi="Times New Roman" w:eastAsia="Times New Roman" w:cs="Times New Roman"/>
          <w:sz w:val="25"/>
          <w:szCs w:val="25"/>
        </w:rPr>
        <w:t xml:space="preserve">ar o dever de proteção, confidencialidade e sigilo de toda informação, dados pessoais e/ou base de dados a que tenham acesso, em virtude da execução da realização do presente processo licitatório, conforme exigências da Lei nº 13.709/2018, suas alterações.</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0"/>
        </w:numPr>
        <w:pBdr/>
        <w:spacing w:after="0" w:before="0"/>
        <w:ind w:right="0" w:firstLine="0" w:left="0"/>
        <w:jc w:val="both"/>
        <w:rPr>
          <w:rFonts w:ascii="Times New Roman" w:hAnsi="Times New Roman" w:eastAsia="Times New Roman" w:cs="Times New Roman"/>
          <w:bCs w:val="0"/>
          <w:i w:val="0"/>
          <w:color w:val="e46c0a" w:themeColor="accent6" w:themeShade="BF"/>
          <w:sz w:val="25"/>
          <w:szCs w:val="25"/>
        </w:rPr>
      </w:pPr>
      <w:r>
        <w:rPr>
          <w:rFonts w:ascii="Times New Roman" w:hAnsi="Times New Roman" w:eastAsia="Times New Roman" w:cs="Times New Roman"/>
          <w:i w:val="0"/>
          <w:iCs w:val="0"/>
          <w:color w:val="e46c0a" w:themeColor="accent6" w:themeShade="BF"/>
          <w:sz w:val="25"/>
          <w:szCs w:val="25"/>
        </w:rPr>
        <w:t xml:space="preserve">9.  CANCELAMENTO DO REGISTRO DO LICITANTE VENCEDOR E DOS PREÇOS</w:t>
      </w:r>
      <w:r>
        <w:rPr>
          <w:rFonts w:ascii="Times New Roman" w:hAnsi="Times New Roman" w:eastAsia="Times New Roman" w:cs="Times New Roman"/>
          <w:bCs w:val="0"/>
          <w:i w:val="0"/>
          <w:color w:val="e46c0a" w:themeColor="accent6" w:themeShade="BF"/>
          <w:sz w:val="25"/>
          <w:szCs w:val="25"/>
        </w:rPr>
      </w:r>
      <w:r>
        <w:rPr>
          <w:rFonts w:ascii="Times New Roman" w:hAnsi="Times New Roman" w:eastAsia="Times New Roman" w:cs="Times New Roman"/>
          <w:bCs w:val="0"/>
          <w:i w:val="0"/>
          <w:color w:val="e46c0a" w:themeColor="accent6" w:themeShade="BF"/>
          <w:sz w:val="25"/>
          <w:szCs w:val="25"/>
        </w:rPr>
      </w:r>
    </w:p>
    <w:p>
      <w:pPr>
        <w:pStyle w:val="1136"/>
        <w:numPr>
          <w:ilvl w:val="0"/>
          <w:numId w:val="0"/>
        </w:numPr>
        <w:pBdr/>
        <w:spacing w:after="0" w:before="0"/>
        <w:ind w:right="0" w:firstLine="0" w:left="0"/>
        <w:jc w:val="both"/>
        <w:rPr>
          <w:rFonts w:ascii="Times New Roman" w:hAnsi="Times New Roman" w:eastAsia="Times New Roman" w:cs="Times New Roman"/>
          <w:bCs w:val="0"/>
          <w:i w:val="0"/>
          <w:color w:val="e46c0a" w:themeColor="accent6" w:themeShade="BF"/>
          <w:sz w:val="25"/>
          <w:szCs w:val="25"/>
        </w:rPr>
      </w:pPr>
      <w:r>
        <w:rPr>
          <w:rFonts w:ascii="Times New Roman" w:hAnsi="Times New Roman" w:eastAsia="Times New Roman" w:cs="Times New Roman"/>
          <w:i w:val="0"/>
          <w:iCs w:val="0"/>
          <w:color w:val="e46c0a" w:themeColor="accent6" w:themeShade="BF"/>
          <w:sz w:val="25"/>
          <w:szCs w:val="25"/>
        </w:rPr>
        <w:t xml:space="preserve"> </w:t>
      </w:r>
      <w:r>
        <w:rPr>
          <w:rFonts w:ascii="Times New Roman" w:hAnsi="Times New Roman" w:eastAsia="Times New Roman" w:cs="Times New Roman"/>
          <w:i w:val="0"/>
          <w:iCs w:val="0"/>
          <w:color w:val="e46c0a" w:themeColor="accent6" w:themeShade="BF"/>
          <w:sz w:val="25"/>
          <w:szCs w:val="25"/>
        </w:rPr>
        <w:t xml:space="preserve">REGISTRADOS</w:t>
      </w:r>
      <w:r>
        <w:rPr>
          <w:rFonts w:ascii="Times New Roman" w:hAnsi="Times New Roman" w:eastAsia="Times New Roman" w:cs="Times New Roman"/>
          <w:bCs w:val="0"/>
          <w:i w:val="0"/>
          <w:color w:val="e46c0a" w:themeColor="accent6" w:themeShade="BF"/>
          <w:sz w:val="25"/>
          <w:szCs w:val="25"/>
        </w:rPr>
      </w:r>
      <w:r>
        <w:rPr>
          <w:rFonts w:ascii="Times New Roman" w:hAnsi="Times New Roman" w:eastAsia="Times New Roman" w:cs="Times New Roman"/>
          <w:bCs w:val="0"/>
          <w:i w:val="0"/>
          <w:color w:val="e46c0a" w:themeColor="accent6" w:themeShade="BF"/>
          <w:sz w:val="25"/>
          <w:szCs w:val="25"/>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 O registro do fornecedor será cancelado pelo gerenciador, quando o fornecedor:</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9.1.1. Descumprir as condições da ata de registro de preços, sem motivo justificado;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9.1.2. Não re</w:t>
      </w:r>
      <w:r>
        <w:rPr>
          <w:rFonts w:ascii="Times New Roman" w:hAnsi="Times New Roman" w:eastAsia="Times New Roman" w:cs="Times New Roman"/>
          <w:i w:val="0"/>
          <w:iCs w:val="0"/>
          <w:sz w:val="25"/>
          <w:szCs w:val="25"/>
        </w:rPr>
        <w:t xml:space="preserve">ti</w:t>
      </w:r>
      <w:r>
        <w:rPr>
          <w:rFonts w:ascii="Times New Roman" w:hAnsi="Times New Roman" w:eastAsia="Times New Roman" w:cs="Times New Roman"/>
          <w:i w:val="0"/>
          <w:iCs w:val="0"/>
          <w:sz w:val="25"/>
          <w:szCs w:val="25"/>
        </w:rPr>
        <w:t xml:space="preserve">rar a nota de empenho, ou instrumento equivalente, no prazo estabelecido pela Administração sem justificativa razoável;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9.1.3. Não aceitar manter seu preço registrado, na hipótese prevista no artigo 27, § 2º, do Decreto nº 11.462, de 2023; ou</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9.1.4.  Sofrer sanção prevista nos incisos III ou IV do caput do art. 156 da Lei nº 14.133, de 2021.</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6"/>
        <w:numPr>
          <w:ilvl w:val="0"/>
          <w:numId w:val="0"/>
        </w:numPr>
        <w:pBdr/>
        <w:spacing w:after="0" w:before="0"/>
        <w:ind w:right="0" w:firstLine="0" w:left="567"/>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9.1.4.1. Na hipótese de aplicação de sanção prevista nos incisos III ou IV do caput do art. 156 da Lei nº 14.133, de 2021, caso a penalidade aplicada </w:t>
      </w:r>
      <w:r>
        <w:rPr>
          <w:rFonts w:ascii="Times New Roman" w:hAnsi="Times New Roman" w:eastAsia="Times New Roman" w:cs="Times New Roman"/>
          <w:i w:val="0"/>
          <w:iCs w:val="0"/>
          <w:sz w:val="25"/>
          <w:szCs w:val="25"/>
        </w:rPr>
        <w:t xml:space="preserve">ao fornecedor não ultrapasse o prazo de vigência da ata de registro de preços, o Consórcio poderá, mediante decisão fundamentada, decidir pela manutenção do registro de preços, vedadas contratações derivadas da ata enquanto perdurarem os efeitos da sanção.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9.2.  O cancelamento de registros nas hipóteses previstas no item 9.1.</w:t>
      </w:r>
      <w:r>
        <w:rPr>
          <w:rFonts w:ascii="Times New Roman" w:hAnsi="Times New Roman" w:eastAsia="Times New Roman" w:cs="Times New Roman"/>
          <w:i w:val="0"/>
          <w:iCs w:val="0"/>
          <w:sz w:val="25"/>
          <w:szCs w:val="25"/>
        </w:rPr>
        <w:t xml:space="preserve"> será formalizado por despacho do CISRU Centro Sul, garantidos os princípios do contraditório e da ampla defesa.</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9.3. Na hipótese de cancelamento do registro do fornecedor, o Consórcio poderá convocar os licitantes que compõem o cadastro de reserva, observada a ordem de classificação.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9.4. O cancelamento dos preços registrados poderá ser realizado pelo Consórcio, em determinada ata de registro de preços, total ou parcialmente, nas seguintes hipóteses, desde que devidamente comprovadas e justificadas:</w:t>
      </w:r>
      <w:bookmarkStart w:id="0" w:name="undefined"/>
      <w:r>
        <w:rPr>
          <w:rFonts w:ascii="Times New Roman" w:hAnsi="Times New Roman" w:eastAsia="Times New Roman" w:cs="Times New Roman"/>
          <w:sz w:val="25"/>
          <w:szCs w:val="25"/>
        </w:rPr>
      </w:r>
      <w:bookmarkEnd w:id="0"/>
      <w:r>
        <w:rPr>
          <w:rFonts w:ascii="Times New Roman" w:hAnsi="Times New Roman" w:eastAsia="Times New Roman" w:cs="Times New Roman"/>
          <w:i w:val="0"/>
          <w:iCs w:val="0"/>
          <w:sz w:val="25"/>
          <w:szCs w:val="25"/>
        </w:rPr>
        <w:t xml:space="preserve">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9.4.1. Por razão de interesse público;</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9.4.2. A pedido do fornecedor, decorrente de caso fortuito ou força maior; ou</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283"/>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9.4.3. Se não houver êxito nas negociações, nas hipóteses em que o preço de mercado tornar-se superior ou inferior ao preço registrado, nos termos do artigos 26, § 3º e  27, § 4º, ambos do Decreto nº 11.462, de 2023. </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bCs w:val="0"/>
          <w:i w:val="0"/>
          <w:sz w:val="25"/>
          <w:szCs w:val="25"/>
        </w:rPr>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36"/>
        <w:numPr>
          <w:ilvl w:val="0"/>
          <w:numId w:val="0"/>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10. DAS PENALIDADES</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sz w:val="25"/>
          <w:szCs w:val="25"/>
          <w:highlight w:val="none"/>
        </w:rPr>
      </w:pPr>
      <w:r>
        <w:rPr>
          <w:rFonts w:ascii="Times New Roman" w:hAnsi="Times New Roman" w:eastAsia="Times New Roman" w:cs="Times New Roman"/>
          <w:i w:val="0"/>
          <w:iCs w:val="0"/>
          <w:sz w:val="25"/>
          <w:szCs w:val="25"/>
        </w:rPr>
        <w:t xml:space="preserve">10.1. O descumprimento da Ata de Registro de Preços ensejará aplicação das penalidades estabelecidas no edital.</w:t>
      </w:r>
      <w:r>
        <w:rPr>
          <w:rFonts w:ascii="Times New Roman" w:hAnsi="Times New Roman" w:cs="Times New Roman"/>
          <w:bCs w:val="0"/>
          <w:i w:val="0"/>
          <w:sz w:val="25"/>
          <w:szCs w:val="25"/>
          <w:highlight w:val="none"/>
        </w:rPr>
      </w:r>
      <w:r>
        <w:rPr>
          <w:rFonts w:ascii="Times New Roman" w:hAnsi="Times New Roman" w:cs="Times New Roman"/>
          <w:bCs w:val="0"/>
          <w:i w:val="0"/>
          <w:sz w:val="25"/>
          <w:szCs w:val="25"/>
          <w:highlight w:val="none"/>
        </w:rPr>
      </w:r>
    </w:p>
    <w:p>
      <w:pPr>
        <w:pStyle w:val="1145"/>
        <w:numPr>
          <w:ilvl w:val="0"/>
          <w:numId w:val="0"/>
        </w:numPr>
        <w:pBdr/>
        <w:spacing w:after="0" w:before="0"/>
        <w:ind w:right="0" w:firstLine="0" w:left="0"/>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10.2. As sanções também se aplicam aos integrantes do cadastro de reserva no registro de preços que, convocados, não honrarem o compromisso assumido </w:t>
      </w:r>
      <w:commentRangeStart w:id="11"/>
      <w:r>
        <w:rPr>
          <w:rFonts w:ascii="Times New Roman" w:hAnsi="Times New Roman" w:eastAsia="Times New Roman" w:cs="Times New Roman"/>
          <w:i w:val="0"/>
          <w:iCs w:val="0"/>
          <w:color w:val="000000" w:themeColor="text1"/>
          <w:sz w:val="25"/>
          <w:szCs w:val="25"/>
        </w:rPr>
        <w:t xml:space="preserve">injustificadamente</w:t>
      </w:r>
      <w:r>
        <w:rPr>
          <w:rFonts w:ascii="Times New Roman" w:hAnsi="Times New Roman" w:eastAsia="Times New Roman" w:cs="Times New Roman"/>
          <w:i w:val="0"/>
          <w:iCs w:val="0"/>
          <w:color w:val="000000" w:themeColor="text1"/>
          <w:sz w:val="25"/>
          <w:szCs w:val="25"/>
        </w:rPr>
      </w:r>
      <w:commentRangeEnd w:id="11"/>
      <w:r>
        <w:commentReference w:id="11"/>
      </w:r>
      <w:r>
        <w:rPr>
          <w:rFonts w:ascii="Times New Roman" w:hAnsi="Times New Roman" w:eastAsia="Times New Roman" w:cs="Times New Roman"/>
          <w:i w:val="0"/>
          <w:iCs w:val="0"/>
          <w:color w:val="000000" w:themeColor="text1"/>
          <w:sz w:val="25"/>
          <w:szCs w:val="25"/>
        </w:rPr>
        <w:t xml:space="preserve"> após terem assinado a ata. </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bCs w:val="0"/>
          <w:i w:val="0"/>
          <w:color w:val="000000" w:themeColor="text1"/>
          <w:sz w:val="25"/>
          <w:szCs w:val="25"/>
        </w:rPr>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136"/>
        <w:numPr>
          <w:ilvl w:val="0"/>
          <w:numId w:val="0"/>
        </w:numPr>
        <w:pBdr/>
        <w:spacing w:after="0" w:before="0"/>
        <w:ind w:right="0" w:firstLine="0" w:left="0"/>
        <w:jc w:val="both"/>
        <w:rPr>
          <w:rFonts w:ascii="Times New Roman" w:hAnsi="Times New Roman" w:cs="Times New Roman"/>
          <w:bCs w:val="0"/>
          <w:i w:val="0"/>
          <w:color w:val="e46c0a" w:themeColor="accent6" w:themeShade="BF"/>
          <w:sz w:val="25"/>
          <w:szCs w:val="25"/>
          <w:highlight w:val="none"/>
        </w:rPr>
      </w:pPr>
      <w:r>
        <w:rPr>
          <w:rFonts w:ascii="Times New Roman" w:hAnsi="Times New Roman" w:eastAsia="Times New Roman" w:cs="Times New Roman"/>
          <w:i w:val="0"/>
          <w:iCs w:val="0"/>
          <w:color w:val="e46c0a" w:themeColor="accent6" w:themeShade="BF"/>
          <w:sz w:val="25"/>
          <w:szCs w:val="25"/>
        </w:rPr>
        <w:t xml:space="preserve">11. CONDIÇÕES GERAIS</w:t>
      </w:r>
      <w:r>
        <w:rPr>
          <w:rFonts w:ascii="Times New Roman" w:hAnsi="Times New Roman" w:cs="Times New Roman"/>
          <w:bCs w:val="0"/>
          <w:i w:val="0"/>
          <w:color w:val="e46c0a" w:themeColor="accent6" w:themeShade="BF"/>
          <w:sz w:val="25"/>
          <w:szCs w:val="25"/>
          <w:highlight w:val="none"/>
        </w:rPr>
      </w:r>
      <w:r>
        <w:rPr>
          <w:rFonts w:ascii="Times New Roman" w:hAnsi="Times New Roman" w:cs="Times New Roman"/>
          <w:bCs w:val="0"/>
          <w:i w:val="0"/>
          <w:color w:val="e46c0a" w:themeColor="accent6" w:themeShade="BF"/>
          <w:sz w:val="25"/>
          <w:szCs w:val="25"/>
          <w:highlight w:val="none"/>
        </w:rPr>
      </w:r>
    </w:p>
    <w:p>
      <w:pPr>
        <w:pStyle w:val="1141"/>
        <w:numPr>
          <w:ilvl w:val="0"/>
          <w:numId w:val="0"/>
        </w:numPr>
        <w:pBdr/>
        <w:spacing w:after="0" w:before="0"/>
        <w:ind w:right="0" w:firstLine="0" w:left="0"/>
        <w:jc w:val="both"/>
        <w:rPr>
          <w:rFonts w:ascii="Times New Roman" w:hAnsi="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11.</w:t>
      </w:r>
      <w:r>
        <w:rPr>
          <w:rFonts w:ascii="Times New Roman" w:hAnsi="Times New Roman" w:eastAsia="Times New Roman" w:cs="Times New Roman"/>
          <w:i w:val="0"/>
          <w:iCs w:val="0"/>
          <w:color w:val="000000" w:themeColor="text1"/>
          <w:sz w:val="25"/>
          <w:szCs w:val="25"/>
        </w:rPr>
        <w:t xml:space="preserve"> As condições gerais de execução do objeto, tais como os prazos para entrega e recebimento, as obrigações da Administração e do fornecedor registrado, penalidades e demais condições do ajuste, encontram-se definidos no Termo de Referência, ANEXO AO EDITAL.</w:t>
      </w:r>
      <w:r>
        <w:rPr>
          <w:rFonts w:ascii="Times New Roman" w:hAnsi="Times New Roman" w:cs="Times New Roman"/>
          <w:bCs w:val="0"/>
          <w:i w:val="0"/>
          <w:color w:val="000000" w:themeColor="text1"/>
          <w:sz w:val="25"/>
          <w:szCs w:val="25"/>
          <w:highlight w:val="none"/>
        </w:rPr>
      </w:r>
      <w:r>
        <w:rPr>
          <w:rFonts w:ascii="Times New Roman" w:hAnsi="Times New Roman" w:cs="Times New Roman"/>
          <w:bCs w:val="0"/>
          <w:i w:val="0"/>
          <w:color w:val="000000" w:themeColor="text1"/>
          <w:sz w:val="25"/>
          <w:szCs w:val="25"/>
          <w:highlight w:val="none"/>
        </w:rPr>
      </w:r>
    </w:p>
    <w:p>
      <w:pPr>
        <w:pStyle w:val="1028"/>
        <w:widowControl w:val="false"/>
        <w:pBdr/>
        <w:spacing w:line="276" w:lineRule="auto"/>
        <w:ind w:right="0" w:firstLine="0" w:left="0"/>
        <w:jc w:val="both"/>
        <w:rPr>
          <w:rFonts w:ascii="Times New Roman" w:hAnsi="Times New Roman" w:cs="Times New Roman"/>
          <w:bCs w:val="0"/>
          <w:i w:val="0"/>
          <w:color w:val="ff0000"/>
          <w:sz w:val="25"/>
          <w:szCs w:val="25"/>
          <w:highlight w:val="none"/>
        </w:rPr>
      </w:pPr>
      <w:r>
        <w:rPr>
          <w:rFonts w:ascii="Times New Roman" w:hAnsi="Times New Roman" w:eastAsia="Times New Roman" w:cs="Times New Roman"/>
          <w:bCs w:val="0"/>
          <w:i w:val="0"/>
          <w:color w:val="ff0000"/>
          <w:sz w:val="25"/>
          <w:szCs w:val="25"/>
        </w:rPr>
      </w:r>
      <w:r>
        <w:rPr>
          <w:rFonts w:ascii="Times New Roman" w:hAnsi="Times New Roman" w:cs="Times New Roman"/>
          <w:bCs w:val="0"/>
          <w:i w:val="0"/>
          <w:color w:val="ff0000"/>
          <w:sz w:val="25"/>
          <w:szCs w:val="25"/>
          <w:highlight w:val="none"/>
        </w:rPr>
      </w:r>
      <w:r>
        <w:rPr>
          <w:rFonts w:ascii="Times New Roman" w:hAnsi="Times New Roman" w:cs="Times New Roman"/>
          <w:bCs w:val="0"/>
          <w:i w:val="0"/>
          <w:color w:val="ff0000"/>
          <w:sz w:val="25"/>
          <w:szCs w:val="25"/>
          <w:highlight w:val="none"/>
        </w:rPr>
      </w:r>
    </w:p>
    <w:p>
      <w:pPr>
        <w:pStyle w:val="1028"/>
        <w:widowControl w:val="false"/>
        <w:pBdr/>
        <w:spacing w:line="300" w:lineRule="auto"/>
        <w:ind w:right="0" w:firstLine="0" w:left="0"/>
        <w:jc w:val="both"/>
        <w:rPr>
          <w:rFonts w:ascii="Times New Roman" w:hAnsi="Times New Roman" w:eastAsia="Times New Roman" w:cs="Times New Roman"/>
          <w:bCs w:val="0"/>
          <w:i w:val="0"/>
          <w:color w:val="auto"/>
          <w:sz w:val="25"/>
          <w:szCs w:val="25"/>
          <w:highlight w:val="none"/>
        </w:rPr>
      </w:pPr>
      <w:r>
        <w:rPr>
          <w:rFonts w:ascii="Times New Roman" w:hAnsi="Times New Roman" w:eastAsia="Times New Roman" w:cs="Times New Roman"/>
          <w:i w:val="0"/>
          <w:iCs w:val="0"/>
          <w:color w:val="auto"/>
          <w:sz w:val="25"/>
          <w:szCs w:val="25"/>
        </w:rPr>
        <w:t xml:space="preserve">Para firmeza e validade do pactuado, a presente Ata foi lavrada em 02 (duas) vias de igual teor, que, depois de lida e achada conforme, será assinada pelas partes e devidamente publicada</w:t>
      </w:r>
      <w:r>
        <w:rPr>
          <w:rFonts w:ascii="Times New Roman" w:hAnsi="Times New Roman" w:eastAsia="Times New Roman" w:cs="Times New Roman"/>
          <w:i w:val="0"/>
          <w:iCs w:val="0"/>
          <w:color w:val="auto"/>
          <w:sz w:val="25"/>
          <w:szCs w:val="25"/>
        </w:rPr>
        <w:t xml:space="preserve">. </w:t>
      </w:r>
      <w:r>
        <w:rPr>
          <w:rFonts w:ascii="Times New Roman" w:hAnsi="Times New Roman" w:eastAsia="Times New Roman" w:cs="Times New Roman"/>
          <w:bCs w:val="0"/>
          <w:i w:val="0"/>
          <w:color w:val="auto"/>
          <w:sz w:val="25"/>
          <w:szCs w:val="25"/>
          <w:highlight w:val="none"/>
        </w:rPr>
      </w:r>
      <w:r>
        <w:rPr>
          <w:rFonts w:ascii="Times New Roman" w:hAnsi="Times New Roman" w:eastAsia="Times New Roman" w:cs="Times New Roman"/>
          <w:bCs w:val="0"/>
          <w:i w:val="0"/>
          <w:color w:val="auto"/>
          <w:sz w:val="25"/>
          <w:szCs w:val="25"/>
          <w:highlight w:val="none"/>
        </w:rPr>
      </w:r>
    </w:p>
    <w:p>
      <w:pPr>
        <w:pStyle w:val="1028"/>
        <w:widowControl w:val="false"/>
        <w:pBdr/>
        <w:spacing w:line="300" w:lineRule="auto"/>
        <w:ind w:right="0" w:firstLine="0" w:left="0"/>
        <w:jc w:val="both"/>
        <w:rPr>
          <w:rFonts w:ascii="Times New Roman" w:hAnsi="Times New Roman" w:cs="Times New Roman"/>
          <w:bCs w:val="0"/>
          <w:i w:val="0"/>
          <w:color w:val="auto"/>
          <w:sz w:val="24"/>
          <w:szCs w:val="24"/>
          <w:highlight w:val="none"/>
        </w:rPr>
      </w:pPr>
      <w:r>
        <w:rPr>
          <w:rFonts w:ascii="Times New Roman" w:hAnsi="Times New Roman" w:eastAsia="Times New Roman" w:cs="Times New Roman"/>
          <w:i w:val="0"/>
          <w:iCs w:val="0"/>
          <w:color w:val="auto"/>
          <w:sz w:val="25"/>
          <w:szCs w:val="25"/>
          <w:highlight w:val="none"/>
        </w:rPr>
      </w:r>
      <w:r>
        <w:rPr>
          <w:rFonts w:ascii="Times New Roman" w:hAnsi="Times New Roman" w:cs="Times New Roman"/>
          <w:bCs w:val="0"/>
          <w:i w:val="0"/>
          <w:color w:val="auto"/>
          <w:sz w:val="24"/>
          <w:szCs w:val="24"/>
          <w:highlight w:val="none"/>
        </w:rPr>
      </w:r>
      <w:r>
        <w:rPr>
          <w:rFonts w:ascii="Times New Roman" w:hAnsi="Times New Roman" w:cs="Times New Roman"/>
          <w:bCs w:val="0"/>
          <w:i w:val="0"/>
          <w:color w:val="auto"/>
          <w:sz w:val="24"/>
          <w:szCs w:val="24"/>
          <w:highlight w:val="none"/>
        </w:rPr>
      </w:r>
    </w:p>
    <w:tbl>
      <w:tblPr>
        <w:jc w:val="center"/>
        <w:tblInd w:w="0" w:type="dxa"/>
        <w:tblW w:w="9494" w:type="dxa"/>
        <w:tblCellMar>
          <w:left w:w="70" w:type="dxa"/>
          <w:top w:w="0" w:type="dxa"/>
          <w:right w:w="70" w:type="dxa"/>
          <w:bottom w:w="0" w:type="dxa"/>
        </w:tblCellMar>
        <w:tblBorders/>
        <w:tblLayout w:type="fixed"/>
        <w:tblLook w:val="04A0" w:firstRow="1" w:lastRow="0" w:firstColumn="1" w:lastColumn="0" w:noHBand="0" w:noVBand="1"/>
      </w:tblPr>
      <w:tblGrid>
        <w:gridCol w:w="920"/>
        <w:gridCol w:w="3543"/>
        <w:gridCol w:w="992"/>
        <w:gridCol w:w="4039"/>
      </w:tblGrid>
      <w:tr>
        <w:trPr>
          <w:trHeight w:val="393"/>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Style w:val="1028"/>
              <w:pBdr/>
              <w:spacing w:line="300" w:lineRule="auto"/>
              <w:ind w:right="-8"/>
              <w:jc w:val="center"/>
              <w:rPr>
                <w:rFonts w:ascii="Times New Roman" w:hAnsi="Times New Roman" w:cs="Times New Roman"/>
                <w:color w:val="000000"/>
                <w:sz w:val="25"/>
                <w:szCs w:val="25"/>
                <w:highlight w:val="none"/>
              </w:rPr>
            </w:pPr>
            <w:r>
              <w:rPr>
                <w:rFonts w:ascii="Times New Roman" w:hAnsi="Times New Roman" w:eastAsia="Times New Roman" w:cs="Times New Roman"/>
                <w:color w:val="000000" w:themeColor="text1"/>
                <w:sz w:val="25"/>
                <w:szCs w:val="25"/>
              </w:rPr>
              <w:t xml:space="preserve">Barbacena, data da assinatura eletrônica.</w:t>
            </w:r>
            <w:r>
              <w:rPr>
                <w:rFonts w:ascii="Times New Roman" w:hAnsi="Times New Roman" w:cs="Times New Roman"/>
                <w:color w:val="000000"/>
                <w:sz w:val="25"/>
                <w:szCs w:val="25"/>
                <w:highlight w:val="none"/>
              </w:rPr>
            </w:r>
            <w:r>
              <w:rPr>
                <w:rFonts w:ascii="Times New Roman" w:hAnsi="Times New Roman" w:cs="Times New Roman"/>
                <w:color w:val="000000"/>
                <w:sz w:val="25"/>
                <w:szCs w:val="25"/>
                <w:highlight w:val="none"/>
              </w:rPr>
            </w:r>
          </w:p>
        </w:tc>
      </w:tr>
      <w:tr>
        <w:trPr>
          <w:trHeight w:val="273"/>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Style w:val="1028"/>
              <w:pBdr/>
              <w:tabs>
                <w:tab w:val="clear" w:leader="none" w:pos="708"/>
                <w:tab w:val="left" w:leader="none" w:pos="5506"/>
              </w:tabs>
              <w:spacing/>
              <w:ind/>
              <w:jc w:val="center"/>
              <w:rPr>
                <w:rFonts w:ascii="Times New Roman" w:hAnsi="Times New Roman" w:cs="Times New Roman"/>
                <w:b/>
                <w:sz w:val="25"/>
                <w:szCs w:val="25"/>
                <w:highlight w:val="none"/>
              </w:rPr>
            </w:pPr>
            <w:r>
              <w:rPr>
                <w:rFonts w:ascii="Times New Roman" w:hAnsi="Times New Roman" w:eastAsia="Times New Roman" w:cs="Times New Roman"/>
                <w:b/>
                <w:bCs/>
                <w:sz w:val="25"/>
                <w:szCs w:val="25"/>
              </w:rPr>
              <w:t xml:space="preserve">GESTOR DA ATA</w:t>
            </w:r>
            <w:r>
              <w:rPr>
                <w:rFonts w:ascii="Times New Roman" w:hAnsi="Times New Roman" w:cs="Times New Roman"/>
                <w:b/>
                <w:sz w:val="25"/>
                <w:szCs w:val="25"/>
                <w:highlight w:val="none"/>
              </w:rPr>
            </w:r>
            <w:r>
              <w:rPr>
                <w:rFonts w:ascii="Times New Roman" w:hAnsi="Times New Roman" w:cs="Times New Roman"/>
                <w:b/>
                <w:sz w:val="25"/>
                <w:szCs w:val="25"/>
                <w:highlight w:val="none"/>
              </w:rPr>
            </w:r>
          </w:p>
        </w:tc>
      </w:tr>
      <w:tr>
        <w:trPr>
          <w:cantSplit/>
          <w:trHeight w:val="1953"/>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Style w:val="1028"/>
              <w:pBdr/>
              <w:spacing w:line="300" w:lineRule="auto"/>
              <w:ind w:right="-8"/>
              <w:jc w:val="center"/>
              <w:rPr>
                <w:rFonts w:ascii="Times New Roman" w:hAnsi="Times New Roman" w:cs="Times New Roman"/>
                <w:sz w:val="25"/>
                <w:szCs w:val="25"/>
                <w:highlight w:val="none"/>
              </w:rPr>
            </w:pPr>
            <w:r>
              <w:rPr>
                <w:rFonts w:ascii="Times New Roman" w:hAnsi="Times New Roman" w:eastAsia="Times New Roman" w:cs="Times New Roman"/>
                <w:sz w:val="25"/>
                <w:szCs w:val="25"/>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tabs>
                <w:tab w:val="clear" w:leader="none" w:pos="708"/>
                <w:tab w:val="left" w:leader="none" w:pos="5686"/>
              </w:tabs>
              <w:spacing w:line="300" w:lineRule="auto"/>
              <w:ind w:right="-8"/>
              <w:jc w:val="left"/>
              <w:rPr>
                <w:rFonts w:ascii="Times New Roman" w:hAnsi="Times New Roman" w:cs="Times New Roman"/>
                <w:sz w:val="25"/>
                <w:szCs w:val="25"/>
                <w:highlight w:val="none"/>
              </w:rPr>
            </w:pPr>
            <w:r>
              <w:rPr>
                <w:rFonts w:ascii="Times New Roman" w:hAnsi="Times New Roman" w:eastAsia="Times New Roman" w:cs="Times New Roman"/>
                <w:sz w:val="25"/>
                <w:szCs w:val="25"/>
              </w:rPr>
              <w:tab/>
            </w:r>
            <w:r>
              <w:rPr>
                <w:rFonts w:ascii="Times New Roman" w:hAnsi="Times New Roman" w:cs="Times New Roman"/>
                <w:sz w:val="25"/>
                <w:szCs w:val="25"/>
                <w:highlight w:val="none"/>
              </w:rPr>
            </w:r>
            <w:r>
              <w:rPr>
                <w:rFonts w:ascii="Times New Roman" w:hAnsi="Times New Roman" w:cs="Times New Roman"/>
                <w:sz w:val="25"/>
                <w:szCs w:val="25"/>
                <w:highlight w:val="none"/>
              </w:rPr>
            </w:r>
          </w:p>
          <w:p>
            <w:pPr>
              <w:pBdr/>
              <w:spacing w:line="300" w:lineRule="auto"/>
              <w:ind w:right="-8"/>
              <w:rPr>
                <w:rFonts w:ascii="Times New Roman" w:hAnsi="Times New Roman" w:cs="Times New Roman"/>
                <w:sz w:val="25"/>
                <w:szCs w:val="25"/>
                <w:highlight w:val="none"/>
              </w:rPr>
            </w:pPr>
            <w:r>
              <w:rPr>
                <w:rFonts w:ascii="Times New Roman" w:hAnsi="Times New Roman" w:cs="Times New Roman"/>
                <w:sz w:val="25"/>
                <w:szCs w:val="25"/>
                <w:highlight w:val="none"/>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rPr>
                <w:rFonts w:ascii="Times New Roman" w:hAnsi="Times New Roman" w:cs="Times New Roman"/>
                <w:sz w:val="25"/>
                <w:szCs w:val="25"/>
                <w:highlight w:val="none"/>
              </w:rPr>
            </w:pPr>
            <w:r>
              <w:rPr>
                <w:rFonts w:ascii="Times New Roman" w:hAnsi="Times New Roman" w:eastAsia="Times New Roman" w:cs="Times New Roman"/>
                <w:sz w:val="25"/>
                <w:szCs w:val="25"/>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center"/>
              <w:rPr>
                <w:rFonts w:ascii="Times New Roman" w:hAnsi="Times New Roman" w:cs="Times New Roman"/>
                <w:sz w:val="25"/>
                <w:szCs w:val="25"/>
                <w:highlight w:val="none"/>
              </w:rPr>
            </w:pPr>
            <w:r>
              <w:rPr>
                <w:rFonts w:ascii="Times New Roman" w:hAnsi="Times New Roman" w:eastAsia="Times New Roman" w:cs="Times New Roman"/>
                <w:sz w:val="25"/>
                <w:szCs w:val="25"/>
              </w:rPr>
              <w:t xml:space="preserve">CISRU Centro Sul</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center"/>
              <w:rPr>
                <w:rFonts w:ascii="Times New Roman" w:hAnsi="Times New Roman" w:cs="Times New Roman"/>
                <w:sz w:val="25"/>
                <w:szCs w:val="25"/>
                <w:highlight w:val="none"/>
              </w:rPr>
            </w:pPr>
            <w:r>
              <w:rPr>
                <w:rFonts w:ascii="Times New Roman" w:hAnsi="Times New Roman" w:eastAsia="Times New Roman" w:cs="Times New Roman"/>
                <w:sz w:val="25"/>
                <w:szCs w:val="25"/>
              </w:rPr>
              <w:t xml:space="preserve">CNPJ: 11.938.399/0001-72</w:t>
            </w:r>
            <w:r>
              <w:rPr>
                <w:rFonts w:ascii="Times New Roman" w:hAnsi="Times New Roman" w:cs="Times New Roman"/>
                <w:sz w:val="25"/>
                <w:szCs w:val="25"/>
                <w:highlight w:val="none"/>
              </w:rPr>
            </w:r>
            <w:r>
              <w:rPr>
                <w:rFonts w:ascii="Times New Roman" w:hAnsi="Times New Roman" w:cs="Times New Roman"/>
                <w:sz w:val="25"/>
                <w:szCs w:val="25"/>
                <w:highlight w:val="none"/>
              </w:rPr>
            </w:r>
          </w:p>
        </w:tc>
      </w:tr>
      <w:tr>
        <w:trPr>
          <w:cantSplit/>
          <w:trHeight w:val="720"/>
        </w:trPr>
        <w:tc>
          <w:tcPr>
            <w:tcBorders>
              <w:top w:val="single" w:color="000000" w:sz="4" w:space="0"/>
              <w:left w:val="single" w:color="000000" w:sz="4" w:space="0"/>
              <w:bottom w:val="single" w:color="000000" w:sz="4" w:space="0"/>
              <w:right w:val="single" w:color="000000" w:sz="4" w:space="0"/>
            </w:tcBorders>
            <w:tcW w:w="920" w:type="dxa"/>
            <w:vAlign w:val="center"/>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tc>
        <w:tc>
          <w:tcPr>
            <w:gridSpan w:val="3"/>
            <w:tcBorders>
              <w:top w:val="single" w:color="000000" w:sz="4" w:space="0"/>
              <w:left w:val="single" w:color="000000" w:sz="4" w:space="0"/>
              <w:bottom w:val="single" w:color="000000" w:sz="4" w:space="0"/>
              <w:right w:val="single" w:color="000000" w:sz="4" w:space="0"/>
            </w:tcBorders>
            <w:tcW w:w="8574" w:type="dxa"/>
            <w:vAlign w:val="center"/>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Carlos Augusto Soares do Nascimento</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color w:val="000000"/>
                <w:sz w:val="25"/>
                <w:szCs w:val="25"/>
                <w:highlight w:val="none"/>
              </w:rPr>
            </w:pPr>
            <w:r>
              <w:rPr>
                <w:rFonts w:ascii="Times New Roman" w:hAnsi="Times New Roman" w:eastAsia="Times New Roman" w:cs="Times New Roman"/>
                <w:color w:val="000000" w:themeColor="text1"/>
                <w:sz w:val="25"/>
                <w:szCs w:val="25"/>
              </w:rPr>
              <w:t xml:space="preserve">Presidente do CISRU Centro Sul</w:t>
            </w:r>
            <w:r>
              <w:rPr>
                <w:rFonts w:ascii="Times New Roman" w:hAnsi="Times New Roman" w:cs="Times New Roman"/>
                <w:color w:val="000000"/>
                <w:sz w:val="25"/>
                <w:szCs w:val="25"/>
                <w:highlight w:val="none"/>
              </w:rPr>
            </w:r>
            <w:r>
              <w:rPr>
                <w:rFonts w:ascii="Times New Roman" w:hAnsi="Times New Roman" w:cs="Times New Roman"/>
                <w:color w:val="000000"/>
                <w:sz w:val="25"/>
                <w:szCs w:val="25"/>
                <w:highlight w:val="none"/>
              </w:rPr>
            </w:r>
          </w:p>
        </w:tc>
      </w:tr>
      <w:tr>
        <w:trPr>
          <w:trHeight w:val="636"/>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Style w:val="1028"/>
              <w:pBdr/>
              <w:spacing w:line="300" w:lineRule="auto"/>
              <w:ind w:right="-8"/>
              <w:jc w:val="center"/>
              <w:rPr>
                <w:rFonts w:ascii="Times New Roman" w:hAnsi="Times New Roman" w:cs="Times New Roman"/>
                <w:b/>
                <w:color w:val="000000" w:themeColor="text1"/>
                <w:sz w:val="25"/>
                <w:szCs w:val="25"/>
                <w:highlight w:val="none"/>
              </w:rPr>
            </w:pPr>
            <w:r>
              <w:rPr>
                <w:rFonts w:ascii="Times New Roman" w:hAnsi="Times New Roman" w:eastAsia="Times New Roman" w:cs="Times New Roman"/>
                <w:b/>
                <w:bCs/>
                <w:color w:val="000000" w:themeColor="text1"/>
                <w:sz w:val="25"/>
                <w:szCs w:val="25"/>
              </w:rPr>
              <w:t xml:space="preserve">DETENTORAS DA ATA</w:t>
            </w:r>
            <w:r>
              <w:rPr>
                <w:rFonts w:ascii="Times New Roman" w:hAnsi="Times New Roman" w:cs="Times New Roman"/>
                <w:b/>
                <w:color w:val="000000" w:themeColor="text1"/>
                <w:sz w:val="25"/>
                <w:szCs w:val="25"/>
                <w:highlight w:val="none"/>
              </w:rPr>
            </w:r>
            <w:r>
              <w:rPr>
                <w:rFonts w:ascii="Times New Roman" w:hAnsi="Times New Roman" w:cs="Times New Roman"/>
                <w:b/>
                <w:color w:val="000000" w:themeColor="text1"/>
                <w:sz w:val="25"/>
                <w:szCs w:val="25"/>
                <w:highlight w:val="none"/>
              </w:rPr>
            </w:r>
          </w:p>
        </w:tc>
      </w:tr>
      <w:tr>
        <w:trPr>
          <w:trHeight w:val="1546"/>
        </w:trPr>
        <w:tc>
          <w:tcPr>
            <w:gridSpan w:val="2"/>
            <w:tcBorders>
              <w:top w:val="single" w:color="000000" w:sz="4" w:space="0"/>
              <w:left w:val="single" w:color="000000" w:sz="4" w:space="0"/>
              <w:bottom w:val="single" w:color="000000" w:sz="4" w:space="0"/>
              <w:right w:val="single" w:color="000000" w:sz="4" w:space="0"/>
            </w:tcBorders>
            <w:tcW w:w="4463" w:type="dxa"/>
            <w:vAlign w:val="center"/>
            <w:textDirection w:val="lrTb"/>
            <w:noWrap w:val="false"/>
          </w:tcPr>
          <w:p>
            <w:pPr>
              <w:pStyle w:val="1028"/>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Style w:val="1028"/>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Style w:val="1028"/>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color w:val="000000" w:themeColor="text1"/>
                <w:sz w:val="25"/>
                <w:szCs w:val="25"/>
              </w:rPr>
            </w:r>
            <w:r>
              <w:rPr>
                <w:rFonts w:ascii="Times New Roman" w:hAnsi="Times New Roman" w:eastAsia="Times New Roman" w:cs="Times New Roman"/>
                <w:b w:val="0"/>
                <w:bCs w:val="0"/>
                <w:i w:val="0"/>
                <w:color w:val="000000" w:themeColor="text1"/>
                <w:sz w:val="25"/>
                <w:szCs w:val="25"/>
              </w:rPr>
              <w:t xml:space="preserve">COFARMINAS Comércio de Produtos </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color w:val="000000" w:themeColor="text1"/>
                <w:sz w:val="25"/>
                <w:szCs w:val="25"/>
              </w:rPr>
              <w:t xml:space="preserve">Farmacêuticos</w:t>
            </w:r>
            <w:r>
              <w:rPr>
                <w:rFonts w:ascii="Times New Roman" w:hAnsi="Times New Roman" w:eastAsia="Times New Roman" w:cs="Times New Roman"/>
                <w:b w:val="0"/>
                <w:bCs w:val="0"/>
                <w:i w:val="0"/>
                <w:color w:val="000000" w:themeColor="text1"/>
                <w:sz w:val="25"/>
                <w:szCs w:val="25"/>
              </w:rPr>
              <w:t xml:space="preserve"> Ltda</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Style w:val="1028"/>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color w:val="000000" w:themeColor="text1"/>
                <w:sz w:val="25"/>
                <w:szCs w:val="25"/>
              </w:rPr>
              <w:t xml:space="preserve">CNPJ: </w:t>
            </w:r>
            <w:r>
              <w:rPr>
                <w:rFonts w:ascii="Times New Roman" w:hAnsi="Times New Roman" w:eastAsia="Times New Roman" w:cs="Times New Roman"/>
                <w:b w:val="0"/>
                <w:bCs w:val="0"/>
                <w:iCs w:val="0"/>
                <w:sz w:val="25"/>
                <w:szCs w:val="25"/>
              </w:rPr>
              <w:t xml:space="preserve">02.537.890/0001-09</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tc>
        <w:tc>
          <w:tcPr>
            <w:gridSpan w:val="2"/>
            <w:tcBorders>
              <w:top w:val="single" w:color="000000" w:sz="4" w:space="0"/>
              <w:left w:val="single" w:color="000000" w:sz="4" w:space="0"/>
              <w:bottom w:val="single" w:color="000000" w:sz="4" w:space="0"/>
              <w:right w:val="single" w:color="000000" w:sz="4" w:space="0"/>
            </w:tcBorders>
            <w:tcW w:w="5031" w:type="dxa"/>
            <w:vAlign w:val="center"/>
            <w:textDirection w:val="lrTb"/>
            <w:noWrap w:val="false"/>
          </w:tcPr>
          <w:p>
            <w:pPr>
              <w:pStyle w:val="1028"/>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Style w:val="1028"/>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Style w:val="1028"/>
              <w:pBdr/>
              <w:spacing w:line="300" w:lineRule="auto"/>
              <w:ind w:right="-8"/>
              <w:jc w:val="center"/>
              <w:rPr>
                <w:rFonts w:ascii="Times New Roman" w:hAnsi="Times New Roman" w:eastAsia="Times New Roman" w:cs="Times New Roman"/>
                <w:b w:val="0"/>
                <w:bCs w:val="0"/>
                <w:sz w:val="25"/>
                <w:szCs w:val="25"/>
              </w:rPr>
            </w:pPr>
            <w:r>
              <w:rPr>
                <w:rFonts w:ascii="Times New Roman" w:hAnsi="Times New Roman" w:eastAsia="Times New Roman" w:cs="Times New Roman"/>
                <w:color w:val="000000" w:themeColor="text1"/>
                <w:sz w:val="25"/>
                <w:szCs w:val="25"/>
              </w:rPr>
            </w:r>
            <w:r>
              <w:rPr>
                <w:rFonts w:ascii="Times New Roman" w:hAnsi="Times New Roman" w:eastAsia="Times New Roman" w:cs="Times New Roman"/>
                <w:b w:val="0"/>
                <w:bCs w:val="0"/>
                <w:sz w:val="25"/>
                <w:szCs w:val="25"/>
              </w:rPr>
              <w:t xml:space="preserve">Conquista Distribuidora de Medicamentos e</w:t>
            </w:r>
            <w:r>
              <w:rPr>
                <w:rFonts w:ascii="Times New Roman" w:hAnsi="Times New Roman" w:eastAsia="Times New Roman" w:cs="Times New Roman"/>
                <w:b w:val="0"/>
                <w:bCs w:val="0"/>
                <w:sz w:val="25"/>
                <w:szCs w:val="25"/>
              </w:rPr>
            </w:r>
            <w:r>
              <w:rPr>
                <w:rFonts w:ascii="Times New Roman" w:hAnsi="Times New Roman" w:eastAsia="Times New Roman" w:cs="Times New Roman"/>
                <w:b w:val="0"/>
                <w:bCs w:val="0"/>
                <w:sz w:val="25"/>
                <w:szCs w:val="25"/>
              </w:rPr>
            </w:r>
          </w:p>
          <w:p>
            <w:pPr>
              <w:pBdr/>
              <w:spacing w:line="300" w:lineRule="auto"/>
              <w:ind w:right="-8"/>
              <w:jc w:val="center"/>
              <w:rPr>
                <w:rFonts w:ascii="Times New Roman" w:hAnsi="Times New Roman" w:eastAsia="Times New Roman" w:cs="Times New Roman"/>
                <w:b w:val="0"/>
                <w:bCs w:val="0"/>
                <w:sz w:val="25"/>
                <w:szCs w:val="25"/>
              </w:rPr>
            </w:pPr>
            <w:r>
              <w:rPr>
                <w:rFonts w:ascii="Times New Roman" w:hAnsi="Times New Roman" w:eastAsia="Times New Roman" w:cs="Times New Roman"/>
                <w:b w:val="0"/>
                <w:bCs w:val="0"/>
                <w:sz w:val="25"/>
                <w:szCs w:val="25"/>
              </w:rPr>
              <w:t xml:space="preserve"> Produtos Hospitalares Ltda</w:t>
            </w:r>
            <w:r>
              <w:rPr>
                <w:rFonts w:ascii="Times New Roman" w:hAnsi="Times New Roman" w:eastAsia="Times New Roman" w:cs="Times New Roman"/>
                <w:b w:val="0"/>
                <w:bCs w:val="0"/>
                <w:sz w:val="25"/>
                <w:szCs w:val="25"/>
              </w:rPr>
            </w:r>
            <w:r>
              <w:rPr>
                <w:rFonts w:ascii="Times New Roman" w:hAnsi="Times New Roman" w:eastAsia="Times New Roman" w:cs="Times New Roman"/>
                <w:b w:val="0"/>
                <w:bCs w:val="0"/>
                <w:sz w:val="25"/>
                <w:szCs w:val="25"/>
              </w:rPr>
            </w:r>
          </w:p>
          <w:p>
            <w:pPr>
              <w:pBdr/>
              <w:spacing w:line="300" w:lineRule="auto"/>
              <w:ind w:right="-8"/>
              <w:jc w:val="center"/>
              <w:rPr>
                <w:rFonts w:ascii="Times New Roman" w:hAnsi="Times New Roman" w:cs="Times New Roman"/>
                <w:color w:val="000000"/>
                <w:sz w:val="25"/>
                <w:szCs w:val="25"/>
                <w:highlight w:val="none"/>
              </w:rPr>
            </w:pPr>
            <w:r>
              <w:rPr>
                <w:rFonts w:ascii="Times New Roman" w:hAnsi="Times New Roman" w:eastAsia="Times New Roman" w:cs="Times New Roman"/>
                <w:b w:val="0"/>
                <w:bCs w:val="0"/>
                <w:sz w:val="25"/>
                <w:szCs w:val="25"/>
              </w:rPr>
            </w:r>
            <w:r>
              <w:rPr>
                <w:rFonts w:ascii="Times New Roman" w:hAnsi="Times New Roman" w:eastAsia="Times New Roman" w:cs="Times New Roman"/>
                <w:iCs w:val="0"/>
                <w:sz w:val="25"/>
                <w:szCs w:val="25"/>
              </w:rPr>
              <w:t xml:space="preserve"> </w:t>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val="0"/>
                <w:bCs w:val="0"/>
                <w:sz w:val="25"/>
                <w:szCs w:val="25"/>
              </w:rPr>
              <w:t xml:space="preserve">12.418.191/0001-95</w:t>
            </w:r>
            <w:r>
              <w:rPr>
                <w:rFonts w:ascii="Times New Roman" w:hAnsi="Times New Roman" w:cs="Times New Roman"/>
                <w:color w:val="000000"/>
                <w:sz w:val="25"/>
                <w:szCs w:val="25"/>
                <w:highlight w:val="none"/>
              </w:rPr>
            </w:r>
            <w:r>
              <w:rPr>
                <w:rFonts w:ascii="Times New Roman" w:hAnsi="Times New Roman" w:cs="Times New Roman"/>
                <w:color w:val="000000"/>
                <w:sz w:val="25"/>
                <w:szCs w:val="25"/>
                <w:highlight w:val="none"/>
              </w:rPr>
            </w:r>
          </w:p>
        </w:tc>
      </w:tr>
      <w:tr>
        <w:trPr>
          <w:trHeight w:val="1043"/>
        </w:trPr>
        <w:tc>
          <w:tcPr>
            <w:tcBorders>
              <w:top w:val="single" w:color="000000" w:sz="4" w:space="0"/>
              <w:left w:val="single" w:color="000000" w:sz="4" w:space="0"/>
              <w:bottom w:val="single" w:color="000000" w:sz="4" w:space="0"/>
              <w:right w:val="single" w:color="000000" w:sz="4" w:space="0"/>
            </w:tcBorders>
            <w:tcW w:w="920" w:type="dxa"/>
            <w:vAlign w:val="center"/>
            <w:textDirection w:val="lrTb"/>
            <w:noWrap w:val="false"/>
          </w:tcPr>
          <w:p>
            <w:pPr>
              <w:pStyle w:val="1028"/>
              <w:pBdr/>
              <w:spacing w:line="300" w:lineRule="auto"/>
              <w:ind w:right="-8"/>
              <w:jc w:val="both"/>
              <w:rPr>
                <w:rFonts w:ascii="Times New Roman" w:hAnsi="Times New Roman" w:eastAsia="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eastAsia="Times New Roman" w:cs="Times New Roman"/>
                <w:color w:val="000000" w:themeColor="text1"/>
                <w:sz w:val="25"/>
                <w:szCs w:val="25"/>
                <w:highlight w:val="none"/>
              </w:rPr>
            </w:r>
            <w:r>
              <w:rPr>
                <w:rFonts w:ascii="Times New Roman" w:hAnsi="Times New Roman" w:eastAsia="Times New Roman" w:cs="Times New Roman"/>
                <w:color w:val="000000" w:themeColor="text1"/>
                <w:sz w:val="25"/>
                <w:szCs w:val="25"/>
                <w:highlight w:val="none"/>
              </w:rPr>
            </w:r>
          </w:p>
          <w:p>
            <w:pPr>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highlight w:val="none"/>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3543" w:type="dxa"/>
            <w:vAlign w:val="center"/>
            <w:textDirection w:val="lrTb"/>
            <w:noWrap w:val="false"/>
          </w:tcPr>
          <w:p>
            <w:pPr>
              <w:pStyle w:val="1028"/>
              <w:pBdr/>
              <w:spacing/>
              <w:ind/>
              <w:rPr>
                <w:rFonts w:ascii="Times New Roman" w:hAnsi="Times New Roman" w:eastAsia="Times New Roman" w:cs="Times New Roman"/>
                <w:bCs w:val="0"/>
                <w:i w:val="0"/>
                <w:color w:val="000000" w:themeColor="text1"/>
                <w:sz w:val="25"/>
                <w:szCs w:val="25"/>
              </w:rPr>
            </w:pPr>
            <w:r>
              <w:rPr>
                <w:rFonts w:ascii="Times New Roman" w:hAnsi="Times New Roman" w:eastAsia="Times New Roman" w:cs="Times New Roman"/>
                <w:iCs w:val="0"/>
                <w:sz w:val="25"/>
                <w:szCs w:val="25"/>
              </w:rPr>
              <w:t xml:space="preserve">J</w:t>
            </w:r>
            <w:r>
              <w:rPr>
                <w:rFonts w:ascii="Times New Roman" w:hAnsi="Times New Roman" w:eastAsia="Times New Roman" w:cs="Times New Roman"/>
                <w:bCs w:val="0"/>
                <w:i w:val="0"/>
                <w:iCs w:val="0"/>
                <w:color w:val="000000" w:themeColor="text1"/>
                <w:sz w:val="25"/>
                <w:szCs w:val="25"/>
              </w:rPr>
              <w:t xml:space="preserve">osé Aldo Cordeiro de </w:t>
            </w:r>
            <w:r>
              <w:rPr>
                <w:rFonts w:ascii="Times New Roman" w:hAnsi="Times New Roman" w:eastAsia="Times New Roman" w:cs="Times New Roman"/>
                <w:bCs w:val="0"/>
                <w:i w:val="0"/>
                <w:iCs w:val="0"/>
                <w:color w:val="000000" w:themeColor="text1"/>
                <w:sz w:val="25"/>
                <w:szCs w:val="25"/>
              </w:rPr>
              <w:t xml:space="preserve">Siqueira e Marcos Johnson de Almeida</w:t>
            </w:r>
            <w:r>
              <w:rPr>
                <w:rFonts w:ascii="Times New Roman" w:hAnsi="Times New Roman" w:eastAsia="Times New Roman" w:cs="Times New Roman"/>
                <w:bCs w:val="0"/>
                <w:i w:val="0"/>
                <w:color w:val="000000" w:themeColor="text1"/>
                <w:sz w:val="25"/>
                <w:szCs w:val="25"/>
              </w:rPr>
            </w:r>
            <w:r>
              <w:rPr>
                <w:rFonts w:ascii="Times New Roman" w:hAnsi="Times New Roman" w:eastAsia="Times New Roman" w:cs="Times New Roman"/>
                <w:bCs w:val="0"/>
                <w:i w:val="0"/>
                <w:color w:val="000000" w:themeColor="text1"/>
                <w:sz w:val="25"/>
                <w:szCs w:val="25"/>
              </w:rPr>
            </w:r>
          </w:p>
          <w:p>
            <w:pPr>
              <w:pBdr/>
              <w:spacing/>
              <w:ind/>
              <w:rPr>
                <w:rFonts w:ascii="Times New Roman" w:hAnsi="Times New Roman" w:cs="Times New Roman"/>
                <w:sz w:val="25"/>
                <w:szCs w:val="25"/>
                <w:highlight w:val="none"/>
              </w:rPr>
            </w:pPr>
            <w:r>
              <w:rPr>
                <w:rFonts w:ascii="Times New Roman" w:hAnsi="Times New Roman" w:eastAsia="Times New Roman" w:cs="Times New Roman"/>
                <w:bCs w:val="0"/>
                <w:i w:val="0"/>
                <w:iCs w:val="0"/>
                <w:color w:val="000000" w:themeColor="text1"/>
                <w:sz w:val="25"/>
                <w:szCs w:val="25"/>
              </w:rPr>
              <w:t xml:space="preserve">Sócios administradores </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4039" w:type="dxa"/>
            <w:vAlign w:val="center"/>
            <w:textDirection w:val="lrTb"/>
            <w:noWrap w:val="false"/>
          </w:tcPr>
          <w:p>
            <w:pPr>
              <w:pStyle w:val="1028"/>
              <w:pBdr/>
              <w:spacing/>
              <w:ind/>
              <w:rPr>
                <w:rFonts w:ascii="Times New Roman" w:hAnsi="Times New Roman" w:eastAsia="Times New Roman" w:cs="Times New Roman"/>
                <w:bCs w:val="0"/>
                <w:i w:val="0"/>
                <w:color w:val="000000" w:themeColor="text1"/>
                <w:sz w:val="25"/>
                <w:szCs w:val="25"/>
              </w:rPr>
            </w:pPr>
            <w:r>
              <w:rPr>
                <w:rFonts w:ascii="Times New Roman" w:hAnsi="Times New Roman" w:eastAsia="Times New Roman" w:cs="Times New Roman"/>
                <w:sz w:val="25"/>
                <w:szCs w:val="25"/>
              </w:rPr>
            </w:r>
            <w:r>
              <w:rPr>
                <w:rFonts w:ascii="Times New Roman" w:hAnsi="Times New Roman" w:eastAsia="Times New Roman" w:cs="Times New Roman"/>
                <w:bCs w:val="0"/>
                <w:i w:val="0"/>
                <w:iCs w:val="0"/>
                <w:color w:val="000000" w:themeColor="text1"/>
                <w:sz w:val="25"/>
                <w:szCs w:val="25"/>
              </w:rPr>
              <w:t xml:space="preserve">Adriano Rodrigues da Silva</w:t>
            </w:r>
            <w:r>
              <w:rPr>
                <w:rFonts w:ascii="Times New Roman" w:hAnsi="Times New Roman" w:eastAsia="Times New Roman" w:cs="Times New Roman"/>
                <w:bCs w:val="0"/>
                <w:i w:val="0"/>
                <w:iCs w:val="0"/>
                <w:color w:val="000000" w:themeColor="text1"/>
                <w:sz w:val="25"/>
                <w:szCs w:val="25"/>
              </w:rPr>
              <w:t xml:space="preserve"> </w:t>
            </w:r>
            <w:r>
              <w:rPr>
                <w:rFonts w:ascii="Times New Roman" w:hAnsi="Times New Roman" w:eastAsia="Times New Roman" w:cs="Times New Roman"/>
                <w:bCs w:val="0"/>
                <w:i w:val="0"/>
                <w:color w:val="000000" w:themeColor="text1"/>
                <w:sz w:val="25"/>
                <w:szCs w:val="25"/>
              </w:rPr>
            </w:r>
            <w:r>
              <w:rPr>
                <w:rFonts w:ascii="Times New Roman" w:hAnsi="Times New Roman" w:eastAsia="Times New Roman" w:cs="Times New Roman"/>
                <w:bCs w:val="0"/>
                <w:i w:val="0"/>
                <w:color w:val="000000" w:themeColor="text1"/>
                <w:sz w:val="25"/>
                <w:szCs w:val="25"/>
              </w:rPr>
            </w:r>
          </w:p>
          <w:p>
            <w:pPr>
              <w:pBdr/>
              <w:spacing/>
              <w:ind/>
              <w:rPr>
                <w:rFonts w:ascii="Times New Roman" w:hAnsi="Times New Roman" w:cs="Times New Roman"/>
                <w:sz w:val="25"/>
                <w:szCs w:val="25"/>
                <w:highlight w:val="none"/>
              </w:rPr>
            </w:pPr>
            <w:r>
              <w:rPr>
                <w:rFonts w:ascii="Times New Roman" w:hAnsi="Times New Roman" w:eastAsia="Times New Roman" w:cs="Times New Roman"/>
                <w:bCs w:val="0"/>
                <w:i w:val="0"/>
                <w:iCs w:val="0"/>
                <w:color w:val="000000" w:themeColor="text1"/>
                <w:sz w:val="25"/>
                <w:szCs w:val="25"/>
              </w:rPr>
              <w:t xml:space="preserve">Sócio administrador</w:t>
            </w:r>
            <w:r>
              <w:rPr>
                <w:rFonts w:ascii="Times New Roman" w:hAnsi="Times New Roman" w:cs="Times New Roman"/>
                <w:sz w:val="25"/>
                <w:szCs w:val="25"/>
                <w:highlight w:val="none"/>
              </w:rPr>
            </w:r>
            <w:r>
              <w:rPr>
                <w:rFonts w:ascii="Times New Roman" w:hAnsi="Times New Roman" w:cs="Times New Roman"/>
                <w:sz w:val="25"/>
                <w:szCs w:val="25"/>
                <w:highlight w:val="none"/>
              </w:rPr>
            </w:r>
          </w:p>
        </w:tc>
      </w:tr>
      <w:tr>
        <w:trPr>
          <w:trHeight w:val="1974"/>
        </w:trPr>
        <w:tc>
          <w:tcPr>
            <w:gridSpan w:val="2"/>
            <w:tcBorders>
              <w:top w:val="single" w:color="000000" w:sz="4" w:space="0"/>
              <w:left w:val="single" w:color="000000" w:sz="4" w:space="0"/>
              <w:bottom w:val="single" w:color="000000" w:sz="4" w:space="0"/>
              <w:right w:val="single" w:color="000000" w:sz="4" w:space="0"/>
            </w:tcBorders>
            <w:tcW w:w="4463" w:type="dxa"/>
            <w:vAlign w:val="center"/>
            <w:textDirection w:val="lrTb"/>
            <w:noWrap w:val="false"/>
          </w:tcPr>
          <w:p>
            <w:pPr>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cs="Times New Roman"/>
                <w:b/>
                <w:color w:val="000000" w:themeColor="text1"/>
                <w:sz w:val="25"/>
                <w:szCs w:val="25"/>
                <w:highlight w:val="none"/>
              </w:rPr>
            </w:r>
            <w:r>
              <w:rPr>
                <w:rFonts w:ascii="Times New Roman" w:hAnsi="Times New Roman" w:cs="Times New Roman"/>
                <w:b/>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eastAsia="Times New Roman" w:cs="Times New Roman"/>
                <w:b/>
                <w:color w:val="000000" w:themeColor="text1"/>
                <w:sz w:val="25"/>
                <w:szCs w:val="25"/>
              </w:rPr>
            </w:r>
            <w:r>
              <w:rPr>
                <w:rFonts w:ascii="Times New Roman" w:hAnsi="Times New Roman" w:cs="Times New Roman"/>
                <w:b/>
                <w:color w:val="000000" w:themeColor="text1"/>
                <w:sz w:val="25"/>
                <w:szCs w:val="25"/>
                <w:highlight w:val="none"/>
              </w:rPr>
            </w:r>
            <w:r>
              <w:rPr>
                <w:rFonts w:ascii="Times New Roman" w:hAnsi="Times New Roman" w:cs="Times New Roman"/>
                <w:b/>
                <w:bCs/>
                <w:color w:val="000000" w:themeColor="text1"/>
                <w:sz w:val="25"/>
                <w:szCs w:val="25"/>
                <w:highlight w:val="none"/>
              </w:rPr>
            </w:r>
          </w:p>
          <w:p>
            <w:pPr>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cs="Times New Roman"/>
                <w:b/>
                <w:color w:val="000000" w:themeColor="text1"/>
                <w:sz w:val="25"/>
                <w:szCs w:val="25"/>
                <w:highlight w:val="none"/>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eastAsia="Times New Roman" w:cs="Times New Roman"/>
                <w:b/>
                <w:color w:val="000000" w:themeColor="text1"/>
                <w:sz w:val="25"/>
                <w:szCs w:val="25"/>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color w:val="000000" w:themeColor="text1"/>
                <w:sz w:val="25"/>
                <w:szCs w:val="25"/>
              </w:rPr>
            </w:r>
            <w:r>
              <w:rPr>
                <w:rFonts w:ascii="Times New Roman" w:hAnsi="Times New Roman" w:eastAsia="Times New Roman" w:cs="Times New Roman"/>
                <w:b w:val="0"/>
                <w:bCs w:val="0"/>
                <w:i w:val="0"/>
                <w:iCs w:val="0"/>
                <w:color w:val="000000" w:themeColor="text1"/>
                <w:sz w:val="25"/>
                <w:szCs w:val="25"/>
              </w:rPr>
              <w:t xml:space="preserve">Cristália Produtos Químicos </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iCs w:val="0"/>
                <w:color w:val="000000" w:themeColor="text1"/>
                <w:sz w:val="25"/>
                <w:szCs w:val="25"/>
              </w:rPr>
              <w:t xml:space="preserve">Farmacêuticos Ltda</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line="300" w:lineRule="auto"/>
              <w:ind w:right="-8"/>
              <w:jc w:val="center"/>
              <w:rPr>
                <w:rFonts w:ascii="Times New Roman" w:hAnsi="Times New Roman" w:cs="Times New Roman"/>
                <w:sz w:val="25"/>
                <w:szCs w:val="25"/>
                <w:highlight w:val="none"/>
              </w:rPr>
            </w:pPr>
            <w:r>
              <w:rPr>
                <w:rFonts w:ascii="Times New Roman" w:hAnsi="Times New Roman" w:eastAsia="Times New Roman" w:cs="Times New Roman"/>
                <w:b/>
                <w:bCs/>
                <w:i w:val="0"/>
                <w:iCs w:val="0"/>
                <w:color w:val="000000" w:themeColor="text1"/>
                <w:sz w:val="25"/>
                <w:szCs w:val="25"/>
              </w:rPr>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bCs/>
                <w:i w:val="0"/>
                <w:iCs w:val="0"/>
                <w:color w:val="000000" w:themeColor="text1"/>
                <w:sz w:val="25"/>
                <w:szCs w:val="25"/>
              </w:rPr>
              <w:t xml:space="preserve"> </w:t>
            </w:r>
            <w:r>
              <w:rPr>
                <w:rFonts w:ascii="Times New Roman" w:hAnsi="Times New Roman" w:eastAsia="Times New Roman" w:cs="Times New Roman"/>
                <w:i w:val="0"/>
                <w:iCs w:val="0"/>
                <w:color w:val="000000" w:themeColor="text1"/>
                <w:sz w:val="25"/>
                <w:szCs w:val="25"/>
              </w:rPr>
              <w:t xml:space="preserve">44.734.671/0022-86</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gridSpan w:val="2"/>
            <w:tcBorders>
              <w:top w:val="single" w:color="000000" w:sz="4" w:space="0"/>
              <w:left w:val="single" w:color="000000" w:sz="4" w:space="0"/>
              <w:bottom w:val="single" w:color="000000" w:sz="4" w:space="0"/>
              <w:right w:val="single" w:color="000000" w:sz="4" w:space="0"/>
            </w:tcBorders>
            <w:tcW w:w="5031" w:type="dxa"/>
            <w:vAlign w:val="center"/>
            <w:textDirection w:val="lrTb"/>
            <w:noWrap w:val="false"/>
          </w:tcPr>
          <w:p>
            <w:pPr>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Bdr/>
              <w:spacing w:line="300" w:lineRule="auto"/>
              <w:ind w:right="-8"/>
              <w:jc w:val="left"/>
              <w:rPr>
                <w:rFonts w:ascii="Times New Roman" w:hAnsi="Times New Roman" w:cs="Times New Roman"/>
                <w:b/>
                <w:bCs/>
                <w:color w:val="000000" w:themeColor="text1"/>
                <w:sz w:val="25"/>
                <w:szCs w:val="25"/>
                <w:highlight w:val="none"/>
              </w:rPr>
            </w:pP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left"/>
              <w:rPr>
                <w:rFonts w:ascii="Times New Roman" w:hAnsi="Times New Roman" w:cs="Times New Roman"/>
                <w:b/>
                <w:bCs/>
                <w:color w:val="000000" w:themeColor="text1"/>
                <w:sz w:val="25"/>
                <w:szCs w:val="25"/>
                <w:highlight w:val="none"/>
              </w:rPr>
            </w:pPr>
            <w:r>
              <w:rPr>
                <w:rFonts w:ascii="Times New Roman" w:hAnsi="Times New Roman" w:eastAsia="Times New Roman" w:cs="Times New Roman"/>
                <w:b/>
                <w:bCs/>
                <w:color w:val="000000" w:themeColor="text1"/>
                <w:sz w:val="25"/>
                <w:szCs w:val="25"/>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center"/>
              <w:rPr>
                <w:rFonts w:ascii="Times New Roman" w:hAnsi="Times New Roman" w:cs="Times New Roman"/>
                <w:b/>
                <w:bCs/>
                <w:color w:val="000000" w:themeColor="text1"/>
                <w:sz w:val="25"/>
                <w:szCs w:val="25"/>
                <w:highlight w:val="none"/>
              </w:rPr>
            </w:pPr>
            <w:r>
              <w:rPr>
                <w:rFonts w:ascii="Times New Roman" w:hAnsi="Times New Roman" w:eastAsia="Times New Roman" w:cs="Times New Roman"/>
                <w:b/>
                <w:bCs/>
                <w:color w:val="000000" w:themeColor="text1"/>
                <w:sz w:val="25"/>
                <w:szCs w:val="25"/>
              </w:rPr>
            </w:r>
            <w:r>
              <w:rPr>
                <w:rFonts w:ascii="Times New Roman" w:hAnsi="Times New Roman" w:cs="Times New Roman"/>
                <w:b/>
                <w:bCs/>
                <w:color w:val="000000" w:themeColor="text1"/>
                <w:sz w:val="25"/>
                <w:szCs w:val="25"/>
                <w:highlight w:val="none"/>
              </w:rPr>
            </w:r>
            <w:r>
              <w:rPr>
                <w:rFonts w:ascii="Times New Roman" w:hAnsi="Times New Roman" w:cs="Times New Roman"/>
                <w:b/>
                <w:bCs/>
                <w:color w:val="000000" w:themeColor="text1"/>
                <w:sz w:val="25"/>
                <w:szCs w:val="25"/>
                <w:highlight w:val="none"/>
              </w:rPr>
            </w:r>
          </w:p>
          <w:p>
            <w:pPr>
              <w:pStyle w:val="1028"/>
              <w:pBdr/>
              <w:spacing w:line="300" w:lineRule="auto"/>
              <w:ind w:right="-8"/>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color w:val="000000" w:themeColor="text1"/>
                <w:sz w:val="25"/>
                <w:szCs w:val="25"/>
              </w:rPr>
            </w:r>
            <w:r>
              <w:rPr>
                <w:rFonts w:ascii="Times New Roman" w:hAnsi="Times New Roman" w:eastAsia="Times New Roman" w:cs="Times New Roman"/>
                <w:b w:val="0"/>
                <w:bCs w:val="0"/>
                <w:i w:val="0"/>
                <w:iCs w:val="0"/>
                <w:color w:val="000000" w:themeColor="text1"/>
                <w:sz w:val="25"/>
                <w:szCs w:val="25"/>
              </w:rPr>
              <w:t xml:space="preserve">Emenalli Medical Ltda</w:t>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i w:val="0"/>
                <w:iCs w:val="0"/>
                <w:color w:val="000000" w:themeColor="text1"/>
                <w:sz w:val="25"/>
                <w:szCs w:val="25"/>
              </w:rPr>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bCs/>
                <w:i w:val="0"/>
                <w:iCs w:val="0"/>
                <w:color w:val="000000" w:themeColor="text1"/>
                <w:sz w:val="25"/>
                <w:szCs w:val="25"/>
              </w:rPr>
              <w:t xml:space="preserve"> </w:t>
            </w:r>
            <w:r>
              <w:rPr>
                <w:rFonts w:ascii="Times New Roman" w:hAnsi="Times New Roman" w:eastAsia="Times New Roman" w:cs="Times New Roman"/>
                <w:i w:val="0"/>
                <w:iCs w:val="0"/>
                <w:color w:val="000000" w:themeColor="text1"/>
                <w:sz w:val="25"/>
                <w:szCs w:val="25"/>
              </w:rPr>
              <w:t xml:space="preserve">13.694.036/0001-64</w:t>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tc>
      </w:tr>
      <w:tr>
        <w:trPr>
          <w:trHeight w:val="638"/>
        </w:trPr>
        <w:tc>
          <w:tcPr>
            <w:tcBorders>
              <w:top w:val="single" w:color="000000" w:sz="4" w:space="0"/>
              <w:left w:val="single" w:color="000000" w:sz="4" w:space="0"/>
              <w:bottom w:val="single" w:color="000000" w:sz="4" w:space="0"/>
              <w:right w:val="single" w:color="000000" w:sz="4" w:space="0"/>
            </w:tcBorders>
            <w:tcW w:w="920" w:type="dxa"/>
            <w:vAlign w:val="center"/>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3543" w:type="dxa"/>
            <w:vAlign w:val="center"/>
            <w:textDirection w:val="lrTb"/>
            <w:noWrap w:val="false"/>
          </w:tcPr>
          <w:p>
            <w:pPr>
              <w:pStyle w:val="1028"/>
              <w:pBdr/>
              <w:spacing/>
              <w:ind/>
              <w:rPr>
                <w:rFonts w:ascii="Times New Roman" w:hAnsi="Times New Roman" w:eastAsia="Times New Roman" w:cs="Times New Roman"/>
                <w:sz w:val="25"/>
                <w:szCs w:val="25"/>
              </w:rPr>
            </w:pPr>
            <w:r>
              <w:rPr>
                <w:rFonts w:ascii="Times New Roman" w:hAnsi="Times New Roman" w:eastAsia="Times New Roman" w:cs="Times New Roman"/>
                <w:sz w:val="25"/>
                <w:szCs w:val="25"/>
              </w:rPr>
            </w:r>
            <w:r>
              <w:rPr>
                <w:rFonts w:ascii="Times New Roman" w:hAnsi="Times New Roman" w:eastAsia="Times New Roman" w:cs="Times New Roman"/>
                <w:sz w:val="25"/>
                <w:szCs w:val="25"/>
              </w:rPr>
              <w:t xml:space="preserve">Adriano Gomes dos Santos</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p>
            <w:pPr>
              <w:pBdr/>
              <w:spacing/>
              <w:ind/>
              <w:rPr>
                <w:rFonts w:ascii="Times New Roman" w:hAnsi="Times New Roman" w:cs="Times New Roman"/>
                <w:sz w:val="25"/>
                <w:szCs w:val="25"/>
                <w:highlight w:val="none"/>
              </w:rPr>
            </w:pPr>
            <w:r>
              <w:rPr>
                <w:rFonts w:ascii="Times New Roman" w:hAnsi="Times New Roman" w:eastAsia="Times New Roman" w:cs="Times New Roman"/>
                <w:sz w:val="25"/>
                <w:szCs w:val="25"/>
              </w:rPr>
              <w:t xml:space="preserve">Gerente de Licitações </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4039" w:type="dxa"/>
            <w:vAlign w:val="center"/>
            <w:textDirection w:val="lrTb"/>
            <w:noWrap w:val="false"/>
          </w:tcPr>
          <w:p>
            <w:pPr>
              <w:pStyle w:val="1028"/>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sz w:val="25"/>
                <w:szCs w:val="25"/>
              </w:rPr>
            </w:r>
            <w:r>
              <w:rPr>
                <w:rFonts w:ascii="Times New Roman" w:hAnsi="Times New Roman" w:eastAsia="Times New Roman" w:cs="Times New Roman"/>
                <w:i w:val="0"/>
                <w:iCs w:val="0"/>
                <w:color w:val="000000" w:themeColor="text1"/>
                <w:sz w:val="25"/>
                <w:szCs w:val="25"/>
              </w:rPr>
              <w:t xml:space="preserve">Regiani Menali R</w:t>
            </w:r>
            <w:r>
              <w:rPr>
                <w:rFonts w:ascii="Times New Roman" w:hAnsi="Times New Roman" w:eastAsia="Times New Roman" w:cs="Times New Roman"/>
                <w:i w:val="0"/>
                <w:iCs w:val="0"/>
                <w:color w:val="000000" w:themeColor="text1"/>
                <w:sz w:val="25"/>
                <w:szCs w:val="25"/>
              </w:rPr>
              <w:t xml:space="preserve">odrigues </w:t>
            </w:r>
            <w:r>
              <w:rPr>
                <w:rFonts w:ascii="Times New Roman" w:hAnsi="Times New Roman" w:eastAsia="Times New Roman" w:cs="Times New Roman"/>
                <w:i w:val="0"/>
                <w:iCs w:val="0"/>
                <w:color w:val="000000" w:themeColor="text1"/>
                <w:sz w:val="25"/>
                <w:szCs w:val="25"/>
              </w:rPr>
              <w:t xml:space="preserve">Pereira</w:t>
            </w:r>
            <w:r>
              <w:rPr>
                <w:rFonts w:ascii="Times New Roman" w:hAnsi="Times New Roman" w:eastAsia="Times New Roman" w:cs="Times New Roman"/>
                <w:bCs w:val="0"/>
                <w:i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cs="Times New Roman"/>
                <w:sz w:val="25"/>
                <w:szCs w:val="25"/>
                <w:highlight w:val="none"/>
              </w:rPr>
            </w:pP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i w:val="0"/>
                <w:iCs w:val="0"/>
                <w:color w:val="000000" w:themeColor="text1"/>
                <w:sz w:val="25"/>
                <w:szCs w:val="25"/>
              </w:rPr>
              <w:t xml:space="preserve">Sócia única</w:t>
            </w:r>
            <w:r>
              <w:rPr>
                <w:rFonts w:ascii="Times New Roman" w:hAnsi="Times New Roman" w:cs="Times New Roman"/>
                <w:sz w:val="25"/>
                <w:szCs w:val="25"/>
                <w:highlight w:val="none"/>
              </w:rPr>
            </w:r>
            <w:r>
              <w:rPr>
                <w:rFonts w:ascii="Times New Roman" w:hAnsi="Times New Roman" w:cs="Times New Roman"/>
                <w:sz w:val="25"/>
                <w:szCs w:val="25"/>
                <w:highlight w:val="none"/>
              </w:rPr>
            </w:r>
          </w:p>
        </w:tc>
      </w:tr>
      <w:tr>
        <w:trPr>
          <w:trHeight w:val="638"/>
        </w:trPr>
        <w:tc>
          <w:tcPr>
            <w:gridSpan w:val="2"/>
            <w:tcBorders>
              <w:top w:val="single" w:color="000000" w:sz="4" w:space="0"/>
              <w:left w:val="single" w:color="000000" w:sz="4" w:space="0"/>
              <w:bottom w:val="single" w:color="000000" w:sz="4" w:space="0"/>
              <w:right w:val="single" w:color="000000" w:sz="4" w:space="0"/>
            </w:tcBorders>
            <w:tcW w:w="4463" w:type="dxa"/>
            <w:vAlign w:val="center"/>
            <w:vMerge w:val="restart"/>
            <w:textDirection w:val="lrTb"/>
            <w:noWrap w:val="false"/>
          </w:tcPr>
          <w:p>
            <w:pPr>
              <w:pBdr/>
              <w:spacing/>
              <w:ind/>
              <w:jc w:val="center"/>
              <w:rPr>
                <w:rFonts w:ascii="Times New Roman" w:hAnsi="Times New Roman" w:eastAsia="Times New Roman" w:cs="Times New Roman"/>
                <w:b w:val="0"/>
                <w:bCs w:val="0"/>
                <w:sz w:val="25"/>
                <w:szCs w:val="25"/>
              </w:rPr>
            </w:pPr>
            <w:r>
              <w:rPr>
                <w:rFonts w:ascii="Times New Roman" w:hAnsi="Times New Roman" w:eastAsia="Times New Roman" w:cs="Times New Roman"/>
                <w:b w:val="0"/>
                <w:bCs w:val="0"/>
                <w:iCs w:val="0"/>
                <w:sz w:val="25"/>
                <w:szCs w:val="25"/>
                <w:highlight w:val="none"/>
              </w:rPr>
            </w:r>
            <w:r>
              <w:rPr>
                <w:rFonts w:ascii="Times New Roman" w:hAnsi="Times New Roman" w:eastAsia="Times New Roman" w:cs="Times New Roman"/>
                <w:b w:val="0"/>
                <w:bCs w:val="0"/>
                <w:sz w:val="25"/>
                <w:szCs w:val="25"/>
              </w:rPr>
            </w:r>
            <w:r>
              <w:rPr>
                <w:rFonts w:ascii="Times New Roman" w:hAnsi="Times New Roman" w:eastAsia="Times New Roman" w:cs="Times New Roman"/>
                <w:b w:val="0"/>
                <w:bCs w:val="0"/>
                <w:sz w:val="25"/>
                <w:szCs w:val="25"/>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i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b w:val="0"/>
                <w:bCs w:val="0"/>
                <w:iCs w:val="0"/>
                <w:sz w:val="25"/>
                <w:szCs w:val="25"/>
                <w:highlight w:val="none"/>
              </w:rPr>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Style w:val="1028"/>
              <w:pBdr/>
              <w:spacing/>
              <w:ind/>
              <w:jc w:val="center"/>
              <w:rPr>
                <w:rFonts w:ascii="Times New Roman" w:hAnsi="Times New Roman" w:eastAsia="Times New Roman" w:cs="Times New Roman"/>
                <w:b w:val="0"/>
                <w:bCs w:val="0"/>
                <w:sz w:val="25"/>
                <w:szCs w:val="25"/>
                <w:highlight w:val="none"/>
              </w:rPr>
            </w:pPr>
            <w:r>
              <w:rPr>
                <w:rFonts w:ascii="Times New Roman" w:hAnsi="Times New Roman" w:eastAsia="Times New Roman" w:cs="Times New Roman"/>
                <w:sz w:val="25"/>
                <w:szCs w:val="25"/>
              </w:rPr>
            </w:r>
            <w:r>
              <w:rPr>
                <w:rFonts w:ascii="Times New Roman" w:hAnsi="Times New Roman" w:eastAsia="Times New Roman" w:cs="Times New Roman"/>
                <w:b w:val="0"/>
                <w:bCs w:val="0"/>
                <w:iCs w:val="0"/>
                <w:sz w:val="25"/>
                <w:szCs w:val="25"/>
              </w:rPr>
              <w:t xml:space="preserve">ILG Comercial Ltda</w:t>
            </w:r>
            <w:r>
              <w:rPr>
                <w:rFonts w:ascii="Times New Roman" w:hAnsi="Times New Roman" w:eastAsia="Times New Roman" w:cs="Times New Roman"/>
                <w:b w:val="0"/>
                <w:bCs w:val="0"/>
                <w:sz w:val="25"/>
                <w:szCs w:val="25"/>
                <w:highlight w:val="none"/>
              </w:rPr>
            </w:r>
            <w:r>
              <w:rPr>
                <w:rFonts w:ascii="Times New Roman" w:hAnsi="Times New Roman" w:eastAsia="Times New Roman" w:cs="Times New Roman"/>
                <w:b w:val="0"/>
                <w:bCs w:val="0"/>
                <w:sz w:val="25"/>
                <w:szCs w:val="25"/>
                <w:highlight w:val="none"/>
              </w:rPr>
            </w:r>
          </w:p>
          <w:p>
            <w:pPr>
              <w:pBdr/>
              <w:spacing/>
              <w:ind/>
              <w:jc w:val="center"/>
              <w:rPr>
                <w:rFonts w:ascii="Times New Roman" w:hAnsi="Times New Roman" w:eastAsia="Times New Roman" w:cs="Times New Roman"/>
                <w:sz w:val="25"/>
                <w:szCs w:val="25"/>
              </w:rPr>
            </w:pPr>
            <w:r>
              <w:rPr>
                <w:rFonts w:ascii="Times New Roman" w:hAnsi="Times New Roman" w:eastAsia="Times New Roman" w:cs="Times New Roman"/>
                <w:b/>
                <w:bCs/>
                <w:iCs w:val="0"/>
                <w:sz w:val="25"/>
                <w:szCs w:val="25"/>
              </w:rPr>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bCs/>
                <w:i w:val="0"/>
                <w:iCs w:val="0"/>
                <w:color w:val="000000" w:themeColor="text1"/>
                <w:sz w:val="25"/>
                <w:szCs w:val="25"/>
              </w:rPr>
              <w:t xml:space="preserve"> </w:t>
            </w:r>
            <w:r>
              <w:rPr>
                <w:rFonts w:ascii="Times New Roman" w:hAnsi="Times New Roman" w:eastAsia="Times New Roman" w:cs="Times New Roman"/>
                <w:b w:val="0"/>
                <w:bCs w:val="0"/>
                <w:i w:val="0"/>
                <w:iCs w:val="0"/>
                <w:color w:val="000000" w:themeColor="text1"/>
                <w:sz w:val="25"/>
                <w:szCs w:val="25"/>
              </w:rPr>
              <w:t xml:space="preserve">2</w:t>
            </w:r>
            <w:r>
              <w:rPr>
                <w:rFonts w:ascii="Times New Roman" w:hAnsi="Times New Roman" w:eastAsia="Times New Roman" w:cs="Times New Roman"/>
                <w:iCs w:val="0"/>
                <w:sz w:val="25"/>
                <w:szCs w:val="25"/>
              </w:rPr>
              <w:t xml:space="preserve">0.657.155/0001-02</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tc>
        <w:tc>
          <w:tcPr>
            <w:gridSpan w:val="2"/>
            <w:tcBorders>
              <w:top w:val="single" w:color="000000" w:sz="4" w:space="0"/>
              <w:left w:val="single" w:color="000000" w:sz="4" w:space="0"/>
              <w:bottom w:val="single" w:color="000000" w:sz="4" w:space="0"/>
              <w:right w:val="single" w:color="000000" w:sz="4" w:space="0"/>
            </w:tcBorders>
            <w:tcW w:w="5031" w:type="dxa"/>
            <w:vAlign w:val="center"/>
            <w:vMerge w:val="restart"/>
            <w:textDirection w:val="lrTb"/>
            <w:noWrap w:val="false"/>
          </w:tcPr>
          <w:p>
            <w:pPr>
              <w:pBdr/>
              <w:spacing/>
              <w:ind/>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ind/>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Style w:val="1028"/>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sz w:val="25"/>
                <w:szCs w:val="25"/>
              </w:rPr>
            </w:r>
            <w:r>
              <w:rPr>
                <w:rFonts w:ascii="Times New Roman" w:hAnsi="Times New Roman" w:eastAsia="Times New Roman" w:cs="Times New Roman"/>
                <w:b w:val="0"/>
                <w:bCs w:val="0"/>
                <w:i w:val="0"/>
                <w:iCs w:val="0"/>
                <w:color w:val="000000" w:themeColor="text1"/>
                <w:sz w:val="25"/>
                <w:szCs w:val="25"/>
              </w:rPr>
              <w:t xml:space="preserve">MEDH Distribuidora de Medicamentos Ltda</w:t>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sz w:val="25"/>
                <w:szCs w:val="25"/>
              </w:rPr>
            </w:pPr>
            <w:r>
              <w:rPr>
                <w:rFonts w:ascii="Times New Roman" w:hAnsi="Times New Roman" w:eastAsia="Times New Roman" w:cs="Times New Roman"/>
                <w:i w:val="0"/>
                <w:iCs w:val="0"/>
                <w:color w:val="000000" w:themeColor="text1"/>
                <w:sz w:val="25"/>
                <w:szCs w:val="25"/>
              </w:rPr>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bCs/>
                <w:i w:val="0"/>
                <w:iCs w:val="0"/>
                <w:color w:val="000000" w:themeColor="text1"/>
                <w:sz w:val="25"/>
                <w:szCs w:val="25"/>
              </w:rPr>
              <w:t xml:space="preserve"> </w:t>
            </w:r>
            <w:r>
              <w:rPr>
                <w:rFonts w:ascii="Times New Roman" w:hAnsi="Times New Roman" w:eastAsia="Times New Roman" w:cs="Times New Roman"/>
                <w:i w:val="0"/>
                <w:iCs w:val="0"/>
                <w:color w:val="000000" w:themeColor="text1"/>
                <w:sz w:val="25"/>
                <w:szCs w:val="25"/>
              </w:rPr>
              <w:t xml:space="preserve">18.917.657/0001-83</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tc>
      </w:tr>
      <w:tr>
        <w:trPr>
          <w:trHeight w:val="638"/>
        </w:trPr>
        <w:tc>
          <w:tcPr>
            <w:tcBorders>
              <w:top w:val="single" w:color="000000" w:sz="4" w:space="0"/>
              <w:left w:val="single" w:color="000000" w:sz="4" w:space="0"/>
              <w:bottom w:val="single" w:color="000000" w:sz="4" w:space="0"/>
              <w:right w:val="single" w:color="000000" w:sz="4" w:space="0"/>
            </w:tcBorders>
            <w:tcW w:w="920" w:type="dxa"/>
            <w:vAlign w:val="center"/>
            <w:vMerge w:val="restart"/>
            <w:textDirection w:val="lrTb"/>
            <w:noWrap w:val="false"/>
          </w:tcPr>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3543" w:type="dxa"/>
            <w:vAlign w:val="center"/>
            <w:vMerge w:val="restart"/>
            <w:textDirection w:val="lrTb"/>
            <w:noWrap w:val="false"/>
          </w:tcPr>
          <w:p>
            <w:pPr>
              <w:pStyle w:val="1028"/>
              <w:pBdr/>
              <w:spacing/>
              <w:ind/>
              <w:rPr>
                <w:rFonts w:ascii="Times New Roman" w:hAnsi="Times New Roman" w:eastAsia="Times New Roman" w:cs="Times New Roman"/>
                <w:sz w:val="25"/>
                <w:szCs w:val="25"/>
              </w:rPr>
            </w:pPr>
            <w:r>
              <w:rPr>
                <w:rFonts w:ascii="Times New Roman" w:hAnsi="Times New Roman" w:eastAsia="Times New Roman" w:cs="Times New Roman"/>
                <w:sz w:val="25"/>
                <w:szCs w:val="25"/>
              </w:rPr>
            </w:r>
            <w:r>
              <w:rPr>
                <w:rFonts w:ascii="Times New Roman" w:hAnsi="Times New Roman" w:eastAsia="Times New Roman" w:cs="Times New Roman"/>
                <w:iCs w:val="0"/>
                <w:sz w:val="25"/>
                <w:szCs w:val="25"/>
              </w:rPr>
              <w:t xml:space="preserve">Adolfo Frederico </w:t>
            </w:r>
            <w:r>
              <w:rPr>
                <w:rFonts w:ascii="Times New Roman" w:hAnsi="Times New Roman" w:eastAsia="Times New Roman" w:cs="Times New Roman"/>
                <w:iCs w:val="0"/>
                <w:sz w:val="25"/>
                <w:szCs w:val="25"/>
              </w:rPr>
              <w:t xml:space="preserve">Grams</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p>
            <w:pPr>
              <w:pBdr/>
              <w:spacing/>
              <w:ind/>
              <w:rPr>
                <w:rFonts w:ascii="Times New Roman" w:hAnsi="Times New Roman" w:eastAsia="Times New Roman" w:cs="Times New Roman"/>
                <w:sz w:val="25"/>
                <w:szCs w:val="25"/>
              </w:rPr>
            </w:pPr>
            <w:r>
              <w:rPr>
                <w:rFonts w:ascii="Times New Roman" w:hAnsi="Times New Roman" w:eastAsia="Times New Roman" w:cs="Times New Roman"/>
                <w:iCs w:val="0"/>
                <w:sz w:val="25"/>
                <w:szCs w:val="25"/>
              </w:rPr>
              <w:t xml:space="preserve">Sócio único</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pStyle w:val="1028"/>
              <w:pBdr/>
              <w:spacing w:line="300" w:lineRule="auto"/>
              <w:ind w:right="-8"/>
              <w:jc w:val="both"/>
              <w:rPr>
                <w:rFonts w:ascii="Times New Roman" w:hAnsi="Times New Roman" w:eastAsia="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eastAsia="Times New Roman" w:cs="Times New Roman"/>
                <w:color w:val="000000" w:themeColor="text1"/>
                <w:sz w:val="25"/>
                <w:szCs w:val="25"/>
                <w:highlight w:val="none"/>
              </w:rPr>
            </w:r>
            <w:r>
              <w:rPr>
                <w:rFonts w:ascii="Times New Roman" w:hAnsi="Times New Roman" w:eastAsia="Times New Roman" w:cs="Times New Roman"/>
                <w:color w:val="000000" w:themeColor="text1"/>
                <w:sz w:val="25"/>
                <w:szCs w:val="25"/>
                <w:highlight w:val="none"/>
              </w:rPr>
            </w:r>
          </w:p>
          <w:p>
            <w:pPr>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highlight w:val="none"/>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4039" w:type="dxa"/>
            <w:vAlign w:val="center"/>
            <w:vMerge w:val="restart"/>
            <w:textDirection w:val="lrTb"/>
            <w:noWrap w:val="false"/>
          </w:tcPr>
          <w:p>
            <w:pPr>
              <w:pStyle w:val="1028"/>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sz w:val="25"/>
                <w:szCs w:val="25"/>
              </w:rPr>
            </w:r>
            <w:r>
              <w:rPr>
                <w:rFonts w:ascii="Times New Roman" w:hAnsi="Times New Roman" w:eastAsia="Times New Roman" w:cs="Times New Roman"/>
                <w:i w:val="0"/>
                <w:iCs w:val="0"/>
                <w:color w:val="000000" w:themeColor="text1"/>
                <w:sz w:val="25"/>
                <w:szCs w:val="25"/>
              </w:rPr>
              <w:t xml:space="preserve">Evandro Nader e/ou Eduardo Dias Hermeto Filho e/ou Felipe Tavares Costa</w:t>
            </w:r>
            <w:r>
              <w:rPr>
                <w:rFonts w:ascii="Times New Roman" w:hAnsi="Times New Roman" w:eastAsia="Times New Roman" w:cs="Times New Roman"/>
                <w:bCs w:val="0"/>
                <w:i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eastAsia="Times New Roman" w:cs="Times New Roman"/>
                <w:b/>
                <w:bCs/>
                <w:sz w:val="25"/>
                <w:szCs w:val="25"/>
              </w:rPr>
            </w:pP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i w:val="0"/>
                <w:iCs w:val="0"/>
                <w:color w:val="000000" w:themeColor="text1"/>
                <w:sz w:val="25"/>
                <w:szCs w:val="25"/>
              </w:rPr>
              <w:t xml:space="preserve">Administradores não sócios</w:t>
            </w:r>
            <w:r>
              <w:rPr>
                <w:rFonts w:ascii="Times New Roman" w:hAnsi="Times New Roman" w:eastAsia="Times New Roman" w:cs="Times New Roman"/>
                <w:b/>
                <w:bCs/>
                <w:sz w:val="25"/>
                <w:szCs w:val="25"/>
              </w:rPr>
            </w:r>
            <w:r>
              <w:rPr>
                <w:rFonts w:ascii="Times New Roman" w:hAnsi="Times New Roman" w:eastAsia="Times New Roman" w:cs="Times New Roman"/>
                <w:b/>
                <w:bCs/>
                <w:sz w:val="25"/>
                <w:szCs w:val="25"/>
              </w:rPr>
            </w:r>
          </w:p>
        </w:tc>
      </w:tr>
      <w:tr>
        <w:trPr>
          <w:trHeight w:val="638"/>
        </w:trPr>
        <w:tc>
          <w:tcPr>
            <w:gridSpan w:val="2"/>
            <w:tcBorders>
              <w:top w:val="single" w:color="000000" w:sz="4" w:space="0"/>
              <w:left w:val="single" w:color="000000" w:sz="4" w:space="0"/>
              <w:bottom w:val="single" w:color="000000" w:sz="4" w:space="0"/>
              <w:right w:val="single" w:color="000000" w:sz="4" w:space="0"/>
            </w:tcBorders>
            <w:tcW w:w="4463" w:type="dxa"/>
            <w:vAlign w:val="center"/>
            <w:vMerge w:val="restart"/>
            <w:textDirection w:val="lrTb"/>
            <w:noWrap w:val="false"/>
          </w:tcPr>
          <w:p>
            <w:pPr>
              <w:pBdr/>
              <w:spacing/>
              <w:ind/>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ind/>
              <w:jc w:val="center"/>
              <w:rPr>
                <w:rFonts w:ascii="Times New Roman" w:hAnsi="Times New Roman" w:eastAsia="Times New Roman" w:cs="Times New Roman"/>
                <w:b w:val="0"/>
                <w:bCs w:val="0"/>
                <w:i w:val="0"/>
                <w:color w:val="000000" w:themeColor="text1"/>
                <w:sz w:val="25"/>
                <w:szCs w:val="25"/>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rPr>
            </w:r>
            <w:r>
              <w:rPr>
                <w:rFonts w:ascii="Times New Roman" w:hAnsi="Times New Roman" w:eastAsia="Times New Roman" w:cs="Times New Roman"/>
                <w:b w:val="0"/>
                <w:bCs w:val="0"/>
                <w:i w:val="0"/>
                <w:color w:val="000000" w:themeColor="text1"/>
                <w:sz w:val="25"/>
                <w:szCs w:val="25"/>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iCs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Style w:val="1028"/>
              <w:pBdr/>
              <w:spacing/>
              <w:ind/>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sz w:val="25"/>
                <w:szCs w:val="25"/>
              </w:rPr>
            </w:r>
            <w:r>
              <w:rPr>
                <w:rFonts w:ascii="Times New Roman" w:hAnsi="Times New Roman" w:eastAsia="Times New Roman" w:cs="Times New Roman"/>
                <w:b w:val="0"/>
                <w:bCs w:val="0"/>
                <w:i w:val="0"/>
                <w:color w:val="000000" w:themeColor="text1"/>
                <w:sz w:val="25"/>
                <w:szCs w:val="25"/>
                <w:highlight w:val="none"/>
              </w:rPr>
              <w:t xml:space="preserve"> </w:t>
            </w:r>
            <w:r>
              <w:rPr>
                <w:rFonts w:ascii="Times New Roman" w:hAnsi="Times New Roman" w:eastAsia="Times New Roman" w:cs="Times New Roman"/>
                <w:b w:val="0"/>
                <w:bCs w:val="0"/>
                <w:i w:val="0"/>
                <w:iCs w:val="0"/>
                <w:color w:val="000000" w:themeColor="text1"/>
                <w:sz w:val="25"/>
                <w:szCs w:val="25"/>
              </w:rPr>
              <w:t xml:space="preserve">SOMA/MG Produtos hospitalares ltda</w:t>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Bdr/>
              <w:spacing/>
              <w:ind/>
              <w:jc w:val="center"/>
              <w:rPr>
                <w:rFonts w:ascii="Times New Roman" w:hAnsi="Times New Roman" w:eastAsia="Times New Roman" w:cs="Times New Roman"/>
                <w:sz w:val="25"/>
                <w:szCs w:val="25"/>
              </w:rPr>
            </w:pPr>
            <w:r>
              <w:rPr>
                <w:rFonts w:ascii="Times New Roman" w:hAnsi="Times New Roman" w:eastAsia="Times New Roman" w:cs="Times New Roman"/>
                <w:i w:val="0"/>
                <w:iCs w:val="0"/>
                <w:color w:val="000000" w:themeColor="text1"/>
                <w:sz w:val="25"/>
                <w:szCs w:val="25"/>
              </w:rPr>
            </w:r>
            <w:r>
              <w:rPr>
                <w:rFonts w:ascii="Times New Roman" w:hAnsi="Times New Roman" w:eastAsia="Times New Roman" w:cs="Times New Roman"/>
                <w:b w:val="0"/>
                <w:bCs w:val="0"/>
                <w:i w:val="0"/>
                <w:color w:val="000000" w:themeColor="text1"/>
                <w:sz w:val="25"/>
                <w:szCs w:val="25"/>
              </w:rPr>
              <w:t xml:space="preserve">CNPJ:</w:t>
            </w:r>
            <w:r>
              <w:rPr>
                <w:rFonts w:ascii="Times New Roman" w:hAnsi="Times New Roman" w:eastAsia="Times New Roman" w:cs="Times New Roman"/>
                <w:b/>
                <w:bCs/>
                <w:i w:val="0"/>
                <w:iCs w:val="0"/>
                <w:color w:val="000000" w:themeColor="text1"/>
                <w:sz w:val="25"/>
                <w:szCs w:val="25"/>
              </w:rPr>
              <w:t xml:space="preserve"> </w:t>
            </w:r>
            <w:r>
              <w:rPr>
                <w:rFonts w:ascii="Times New Roman" w:hAnsi="Times New Roman" w:eastAsia="Times New Roman" w:cs="Times New Roman"/>
                <w:i w:val="0"/>
                <w:iCs w:val="0"/>
                <w:color w:val="000000" w:themeColor="text1"/>
                <w:sz w:val="25"/>
                <w:szCs w:val="25"/>
              </w:rPr>
              <w:t xml:space="preserve">12.927.876/0001-67</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pStyle w:val="1028"/>
              <w:pBdr/>
              <w:spacing w:line="300" w:lineRule="auto"/>
              <w:ind w:right="-8"/>
              <w:jc w:val="both"/>
              <w:rPr>
                <w:rFonts w:ascii="Times New Roman" w:hAnsi="Times New Roman" w:eastAsia="Times New Roman" w:cs="Times New Roman"/>
                <w:color w:val="000000" w:themeColor="text1"/>
                <w:sz w:val="25"/>
                <w:szCs w:val="25"/>
              </w:rPr>
            </w:pPr>
            <w:r>
              <w:rPr>
                <w:rFonts w:ascii="Times New Roman" w:hAnsi="Times New Roman" w:eastAsia="Times New Roman" w:cs="Times New Roman"/>
                <w:color w:val="000000" w:themeColor="text1"/>
                <w:sz w:val="25"/>
                <w:szCs w:val="25"/>
              </w:rPr>
            </w:r>
            <w:r>
              <w:rPr>
                <w:rFonts w:ascii="Times New Roman" w:hAnsi="Times New Roman" w:eastAsia="Times New Roman" w:cs="Times New Roman"/>
                <w:color w:val="000000" w:themeColor="text1"/>
                <w:sz w:val="25"/>
                <w:szCs w:val="25"/>
              </w:rPr>
            </w:r>
            <w:r>
              <w:rPr>
                <w:rFonts w:ascii="Times New Roman" w:hAnsi="Times New Roman" w:eastAsia="Times New Roman" w:cs="Times New Roman"/>
                <w:color w:val="000000" w:themeColor="text1"/>
                <w:sz w:val="25"/>
                <w:szCs w:val="25"/>
              </w:rPr>
            </w:r>
          </w:p>
        </w:tc>
        <w:tc>
          <w:tcPr>
            <w:tcBorders>
              <w:top w:val="single" w:color="000000" w:sz="4" w:space="0"/>
              <w:left w:val="single" w:color="000000" w:sz="4" w:space="0"/>
              <w:bottom w:val="single" w:color="000000" w:sz="4" w:space="0"/>
              <w:right w:val="single" w:color="000000" w:sz="4" w:space="0"/>
            </w:tcBorders>
            <w:tcW w:w="4039" w:type="dxa"/>
            <w:vAlign w:val="center"/>
            <w:vMerge w:val="restart"/>
            <w:textDirection w:val="lrTb"/>
            <w:noWrap w:val="false"/>
          </w:tcPr>
          <w:p>
            <w:pPr>
              <w:pBdr/>
              <w:spacing w:line="300" w:lineRule="auto"/>
              <w:ind w:right="-8"/>
              <w:jc w:val="center"/>
              <w:rPr>
                <w:rFonts w:ascii="Times New Roman" w:hAnsi="Times New Roman" w:cs="Times New Roman"/>
                <w:color w:val="000000" w:themeColor="text1"/>
                <w:sz w:val="25"/>
                <w:szCs w:val="25"/>
                <w:highlight w:val="none"/>
              </w:rPr>
            </w:pPr>
            <w:r>
              <w:rPr>
                <w:rFonts w:ascii="Times New Roman" w:hAnsi="Times New Roman" w:eastAsia="Times New Roman" w:cs="Times New Roman"/>
                <w:b/>
                <w:bCs/>
                <w:i w:val="0"/>
                <w:iCs w:val="0"/>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center"/>
              <w:rPr>
                <w:rFonts w:ascii="Times New Roman" w:hAnsi="Times New Roman" w:eastAsia="Times New Roman" w:cs="Times New Roman"/>
                <w:b/>
                <w:bCs w:val="0"/>
                <w:i w:val="0"/>
                <w:color w:val="000000" w:themeColor="text1"/>
                <w:sz w:val="25"/>
                <w:szCs w:val="25"/>
                <w:highlight w:val="none"/>
              </w:rPr>
            </w:pP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p>
          <w:p>
            <w:pPr>
              <w:pBdr/>
              <w:spacing w:line="300" w:lineRule="auto"/>
              <w:ind w:right="-8"/>
              <w:jc w:val="center"/>
              <w:rPr>
                <w:rFonts w:ascii="Times New Roman" w:hAnsi="Times New Roman" w:eastAsia="Times New Roman" w:cs="Times New Roman"/>
                <w:b/>
                <w:bCs w:val="0"/>
                <w:i w:val="0"/>
                <w:color w:val="000000" w:themeColor="text1"/>
                <w:sz w:val="25"/>
                <w:szCs w:val="25"/>
                <w:highlight w:val="none"/>
              </w:rPr>
            </w:pP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p>
          <w:p>
            <w:pPr>
              <w:pBdr/>
              <w:spacing w:line="300" w:lineRule="auto"/>
              <w:ind w:right="-8"/>
              <w:jc w:val="center"/>
              <w:rPr>
                <w:rFonts w:ascii="Times New Roman" w:hAnsi="Times New Roman" w:eastAsia="Times New Roman" w:cs="Times New Roman"/>
                <w:b/>
                <w:bCs w:val="0"/>
                <w:i w:val="0"/>
                <w:color w:val="000000" w:themeColor="text1"/>
                <w:sz w:val="25"/>
                <w:szCs w:val="25"/>
                <w:highlight w:val="none"/>
              </w:rPr>
            </w:pPr>
            <w:r>
              <w:rPr>
                <w:rFonts w:ascii="Times New Roman" w:hAnsi="Times New Roman" w:eastAsia="Times New Roman" w:cs="Times New Roman"/>
                <w:b/>
                <w:bCs/>
                <w:i w:val="0"/>
                <w:iCs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p>
          <w:p>
            <w:pPr>
              <w:pBdr/>
              <w:spacing w:line="300" w:lineRule="auto"/>
              <w:ind w:right="-8"/>
              <w:jc w:val="center"/>
              <w:rPr>
                <w:rFonts w:ascii="Times New Roman" w:hAnsi="Times New Roman" w:eastAsia="Times New Roman" w:cs="Times New Roman"/>
                <w:b/>
                <w:bCs w:val="0"/>
                <w:i w:val="0"/>
                <w:color w:val="000000" w:themeColor="text1"/>
                <w:sz w:val="25"/>
                <w:szCs w:val="25"/>
                <w:highlight w:val="none"/>
              </w:rPr>
            </w:pPr>
            <w:r>
              <w:rPr>
                <w:rFonts w:ascii="Times New Roman" w:hAnsi="Times New Roman" w:eastAsia="Times New Roman" w:cs="Times New Roman"/>
                <w:b/>
                <w:bCs/>
                <w:i w:val="0"/>
                <w:iCs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r>
              <w:rPr>
                <w:rFonts w:ascii="Times New Roman" w:hAnsi="Times New Roman" w:eastAsia="Times New Roman" w:cs="Times New Roman"/>
                <w:b/>
                <w:bCs w:val="0"/>
                <w:i w:val="0"/>
                <w:color w:val="000000" w:themeColor="text1"/>
                <w:sz w:val="25"/>
                <w:szCs w:val="25"/>
                <w:highlight w:val="none"/>
              </w:rPr>
            </w:r>
          </w:p>
          <w:p>
            <w:pPr>
              <w:pBdr/>
              <w:spacing w:line="300" w:lineRule="auto"/>
              <w:ind w:right="-8"/>
              <w:jc w:val="center"/>
              <w:rPr>
                <w:rFonts w:ascii="Times New Roman" w:hAnsi="Times New Roman" w:eastAsia="Times New Roman" w:cs="Times New Roman"/>
                <w:b w:val="0"/>
                <w:bCs w:val="0"/>
                <w:i w:val="0"/>
                <w:color w:val="000000" w:themeColor="text1"/>
                <w:sz w:val="25"/>
                <w:szCs w:val="25"/>
                <w:highlight w:val="none"/>
              </w:rPr>
            </w:pPr>
            <w:r>
              <w:rPr>
                <w:rFonts w:ascii="Times New Roman" w:hAnsi="Times New Roman" w:eastAsia="Times New Roman" w:cs="Times New Roman"/>
                <w:b w:val="0"/>
                <w:bCs w:val="0"/>
                <w:i w:val="0"/>
                <w:iCs w:val="0"/>
                <w:color w:val="000000" w:themeColor="text1"/>
                <w:sz w:val="25"/>
                <w:szCs w:val="25"/>
              </w:rPr>
              <w:t xml:space="preserve">TS Farma Distribuidora Ltda</w:t>
            </w:r>
            <w:r>
              <w:rPr>
                <w:rFonts w:ascii="Times New Roman" w:hAnsi="Times New Roman" w:eastAsia="Times New Roman" w:cs="Times New Roman"/>
                <w:b w:val="0"/>
                <w:bCs w:val="0"/>
                <w:i w:val="0"/>
                <w:color w:val="000000" w:themeColor="text1"/>
                <w:sz w:val="25"/>
                <w:szCs w:val="25"/>
                <w:highlight w:val="none"/>
              </w:rPr>
            </w:r>
            <w:r>
              <w:rPr>
                <w:rFonts w:ascii="Times New Roman" w:hAnsi="Times New Roman" w:eastAsia="Times New Roman" w:cs="Times New Roman"/>
                <w:b w:val="0"/>
                <w:bCs w:val="0"/>
                <w:i w:val="0"/>
                <w:color w:val="000000" w:themeColor="text1"/>
                <w:sz w:val="25"/>
                <w:szCs w:val="25"/>
                <w:highlight w:val="none"/>
              </w:rPr>
            </w:r>
          </w:p>
          <w:p>
            <w:pPr>
              <w:pStyle w:val="1028"/>
              <w:pBdr/>
              <w:spacing w:line="300" w:lineRule="auto"/>
              <w:ind w:right="-8"/>
              <w:jc w:val="center"/>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 </w:t>
            </w:r>
            <w:r>
              <w:rPr>
                <w:rFonts w:ascii="Times New Roman" w:hAnsi="Times New Roman" w:eastAsia="Times New Roman" w:cs="Times New Roman"/>
                <w:color w:val="000000" w:themeColor="text1"/>
                <w:sz w:val="25"/>
                <w:szCs w:val="25"/>
              </w:rPr>
              <w:t xml:space="preserve">CNPJ: </w:t>
            </w:r>
            <w:r>
              <w:rPr>
                <w:rFonts w:ascii="Times New Roman" w:hAnsi="Times New Roman" w:eastAsia="Times New Roman" w:cs="Times New Roman"/>
                <w:i w:val="0"/>
                <w:iCs w:val="0"/>
                <w:color w:val="000000" w:themeColor="text1"/>
                <w:sz w:val="25"/>
                <w:szCs w:val="25"/>
              </w:rPr>
              <w:t xml:space="preserve">21.189.554/0001-59</w:t>
            </w:r>
            <w:r>
              <w:rPr>
                <w:rFonts w:ascii="Times New Roman" w:hAnsi="Times New Roman" w:cs="Times New Roman"/>
                <w:sz w:val="25"/>
                <w:szCs w:val="25"/>
                <w:highlight w:val="none"/>
              </w:rPr>
            </w:r>
            <w:r>
              <w:rPr>
                <w:rFonts w:ascii="Times New Roman" w:hAnsi="Times New Roman" w:cs="Times New Roman"/>
                <w:sz w:val="25"/>
                <w:szCs w:val="25"/>
                <w:highlight w:val="none"/>
              </w:rPr>
            </w:r>
          </w:p>
        </w:tc>
      </w:tr>
      <w:tr>
        <w:trPr>
          <w:trHeight w:val="1397"/>
        </w:trPr>
        <w:tc>
          <w:tcPr>
            <w:tcBorders>
              <w:top w:val="single" w:color="000000" w:sz="4" w:space="0"/>
              <w:left w:val="single" w:color="000000" w:sz="4" w:space="0"/>
              <w:bottom w:val="single" w:color="000000" w:sz="4" w:space="0"/>
              <w:right w:val="single" w:color="000000" w:sz="4" w:space="0"/>
            </w:tcBorders>
            <w:tcW w:w="920" w:type="dxa"/>
            <w:vAlign w:val="center"/>
            <w:vMerge w:val="restart"/>
            <w:textDirection w:val="lrTb"/>
            <w:noWrap w:val="false"/>
          </w:tcPr>
          <w:p>
            <w:pPr>
              <w:pStyle w:val="1028"/>
              <w:pBdr/>
              <w:spacing w:line="300" w:lineRule="auto"/>
              <w:ind w:right="-8"/>
              <w:jc w:val="both"/>
              <w:rPr>
                <w:rFonts w:ascii="Times New Roman" w:hAnsi="Times New Roman" w:eastAsia="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eastAsia="Times New Roman" w:cs="Times New Roman"/>
                <w:color w:val="000000" w:themeColor="text1"/>
                <w:sz w:val="25"/>
                <w:szCs w:val="25"/>
                <w:highlight w:val="none"/>
              </w:rPr>
            </w:r>
            <w:r>
              <w:rPr>
                <w:rFonts w:ascii="Times New Roman" w:hAnsi="Times New Roman" w:eastAsia="Times New Roman" w:cs="Times New Roman"/>
                <w:color w:val="000000" w:themeColor="text1"/>
                <w:sz w:val="25"/>
                <w:szCs w:val="25"/>
                <w:highlight w:val="none"/>
              </w:rPr>
            </w:r>
          </w:p>
          <w:p>
            <w:pPr>
              <w:pBdr/>
              <w:spacing w:line="300" w:lineRule="auto"/>
              <w:ind w:right="-8"/>
              <w:jc w:val="both"/>
              <w:rPr>
                <w:rFonts w:ascii="Times New Roman" w:hAnsi="Times New Roman" w:cs="Times New Roman"/>
                <w:sz w:val="25"/>
                <w:szCs w:val="25"/>
                <w:highlight w:val="none"/>
              </w:rPr>
            </w:pPr>
            <w:r>
              <w:rPr>
                <w:rFonts w:ascii="Times New Roman" w:hAnsi="Times New Roman" w:cs="Times New Roman"/>
                <w:sz w:val="25"/>
                <w:szCs w:val="25"/>
                <w:highlight w:val="none"/>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highlight w:val="none"/>
              </w:rPr>
            </w:r>
            <w:r>
              <w:rPr>
                <w:rFonts w:ascii="Times New Roman" w:hAnsi="Times New Roman" w:cs="Times New Roman"/>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3543" w:type="dxa"/>
            <w:vAlign w:val="center"/>
            <w:vMerge w:val="restart"/>
            <w:textDirection w:val="lrTb"/>
            <w:noWrap w:val="false"/>
          </w:tcPr>
          <w:p>
            <w:pPr>
              <w:pStyle w:val="1028"/>
              <w:pBdr/>
              <w:spacing/>
              <w:ind/>
              <w:rPr>
                <w:rFonts w:ascii="Times New Roman" w:hAnsi="Times New Roman" w:eastAsia="Times New Roman" w:cs="Times New Roman"/>
                <w:bCs w:val="0"/>
                <w:i w:val="0"/>
                <w:color w:val="000000" w:themeColor="text1"/>
                <w:sz w:val="25"/>
                <w:szCs w:val="25"/>
              </w:rPr>
            </w:pPr>
            <w:r>
              <w:rPr>
                <w:rFonts w:ascii="Times New Roman" w:hAnsi="Times New Roman" w:eastAsia="Times New Roman" w:cs="Times New Roman"/>
                <w:sz w:val="25"/>
                <w:szCs w:val="25"/>
              </w:rPr>
            </w:r>
            <w:r>
              <w:rPr>
                <w:rFonts w:ascii="Times New Roman" w:hAnsi="Times New Roman" w:eastAsia="Times New Roman" w:cs="Times New Roman"/>
                <w:i w:val="0"/>
                <w:iCs w:val="0"/>
                <w:color w:val="000000" w:themeColor="text1"/>
                <w:sz w:val="25"/>
                <w:szCs w:val="25"/>
              </w:rPr>
              <w:t xml:space="preserve">Marcelo Lapinscki</w:t>
            </w:r>
            <w:r>
              <w:rPr>
                <w:rFonts w:ascii="Times New Roman" w:hAnsi="Times New Roman" w:eastAsia="Times New Roman" w:cs="Times New Roman"/>
                <w:i w:val="0"/>
                <w:iCs w:val="0"/>
                <w:color w:val="000000" w:themeColor="text1"/>
                <w:sz w:val="25"/>
                <w:szCs w:val="25"/>
              </w:rPr>
              <w:t xml:space="preserve"> e/ou </w:t>
            </w:r>
            <w:r>
              <w:rPr>
                <w:rFonts w:ascii="Times New Roman" w:hAnsi="Times New Roman" w:eastAsia="Times New Roman" w:cs="Times New Roman"/>
                <w:i w:val="0"/>
                <w:iCs w:val="0"/>
                <w:color w:val="000000" w:themeColor="text1"/>
                <w:sz w:val="25"/>
                <w:szCs w:val="25"/>
              </w:rPr>
              <w:t xml:space="preserve"> </w:t>
            </w:r>
            <w:r>
              <w:rPr>
                <w:rFonts w:ascii="Times New Roman" w:hAnsi="Times New Roman" w:eastAsia="Times New Roman" w:cs="Times New Roman"/>
                <w:bCs w:val="0"/>
                <w:i w:val="0"/>
                <w:color w:val="000000" w:themeColor="text1"/>
                <w:sz w:val="25"/>
                <w:szCs w:val="25"/>
              </w:rPr>
            </w:r>
            <w:r>
              <w:rPr>
                <w:rFonts w:ascii="Times New Roman" w:hAnsi="Times New Roman" w:eastAsia="Times New Roman" w:cs="Times New Roman"/>
                <w:bCs w:val="0"/>
                <w:i w:val="0"/>
                <w:color w:val="000000" w:themeColor="text1"/>
                <w:sz w:val="25"/>
                <w:szCs w:val="25"/>
              </w:rPr>
            </w:r>
          </w:p>
          <w:p>
            <w:pPr>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rPr>
              <w:t xml:space="preserve">Hamilton Pletsch</w:t>
            </w:r>
            <w:r>
              <w:rPr>
                <w:rFonts w:ascii="Times New Roman" w:hAnsi="Times New Roman" w:eastAsia="Times New Roman" w:cs="Times New Roman"/>
                <w:bCs w:val="0"/>
                <w:i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eastAsia="Times New Roman" w:cs="Times New Roman"/>
                <w:sz w:val="25"/>
                <w:szCs w:val="25"/>
              </w:rPr>
            </w:pPr>
            <w:r>
              <w:rPr>
                <w:rFonts w:ascii="Times New Roman" w:hAnsi="Times New Roman" w:eastAsia="Times New Roman" w:cs="Times New Roman"/>
                <w:sz w:val="25"/>
                <w:szCs w:val="25"/>
                <w:highlight w:val="none"/>
              </w:rPr>
              <w:t xml:space="preserve">Sócios administradores</w:t>
            </w:r>
            <w:r>
              <w:rPr>
                <w:rFonts w:ascii="Times New Roman" w:hAnsi="Times New Roman" w:eastAsia="Times New Roman" w:cs="Times New Roman"/>
                <w:sz w:val="25"/>
                <w:szCs w:val="25"/>
              </w:rPr>
            </w:r>
            <w:r>
              <w:rPr>
                <w:rFonts w:ascii="Times New Roman" w:hAnsi="Times New Roman" w:eastAsia="Times New Roman" w:cs="Times New Roman"/>
                <w:sz w:val="25"/>
                <w:szCs w:val="25"/>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pStyle w:val="1028"/>
              <w:pBdr/>
              <w:spacing w:line="300" w:lineRule="auto"/>
              <w:ind w:right="-8"/>
              <w:jc w:val="both"/>
              <w:rPr>
                <w:rFonts w:ascii="Times New Roman" w:hAnsi="Times New Roman" w:eastAsia="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t xml:space="preserve">Nome:</w:t>
            </w:r>
            <w:r>
              <w:rPr>
                <w:rFonts w:ascii="Times New Roman" w:hAnsi="Times New Roman" w:cs="Times New Roman"/>
                <w:sz w:val="25"/>
                <w:szCs w:val="25"/>
                <w:highlight w:val="none"/>
              </w:rPr>
            </w:r>
            <w:r>
              <w:rPr>
                <w:rFonts w:ascii="Times New Roman" w:hAnsi="Times New Roman" w:eastAsia="Times New Roman" w:cs="Times New Roman"/>
                <w:color w:val="000000" w:themeColor="text1"/>
                <w:sz w:val="25"/>
                <w:szCs w:val="25"/>
                <w:highlight w:val="none"/>
              </w:rPr>
            </w:r>
          </w:p>
          <w:p>
            <w:pPr>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highlight w:val="none"/>
              </w:rPr>
            </w:r>
            <w:r>
              <w:rPr>
                <w:rFonts w:ascii="Times New Roman" w:hAnsi="Times New Roman" w:eastAsia="Times New Roman" w:cs="Times New Roman"/>
                <w:color w:val="000000" w:themeColor="text1"/>
                <w:sz w:val="25"/>
                <w:szCs w:val="25"/>
                <w:highlight w:val="none"/>
              </w:rPr>
            </w:r>
            <w:r>
              <w:rPr>
                <w:rFonts w:ascii="Times New Roman" w:hAnsi="Times New Roman" w:cs="Times New Roman"/>
                <w:sz w:val="25"/>
                <w:szCs w:val="25"/>
                <w:highlight w:val="none"/>
              </w:rPr>
            </w:r>
          </w:p>
          <w:p>
            <w:pPr>
              <w:pStyle w:val="1028"/>
              <w:pBdr/>
              <w:spacing w:line="300" w:lineRule="auto"/>
              <w:ind w:right="-8"/>
              <w:jc w:val="both"/>
              <w:rPr>
                <w:rFonts w:ascii="Times New Roman" w:hAnsi="Times New Roman" w:cs="Times New Roman"/>
                <w:sz w:val="25"/>
                <w:szCs w:val="25"/>
                <w:highlight w:val="none"/>
              </w:rPr>
            </w:pPr>
            <w:r>
              <w:rPr>
                <w:rFonts w:ascii="Times New Roman" w:hAnsi="Times New Roman" w:eastAsia="Times New Roman" w:cs="Times New Roman"/>
                <w:color w:val="000000" w:themeColor="text1"/>
                <w:sz w:val="25"/>
                <w:szCs w:val="25"/>
              </w:rPr>
              <w:t xml:space="preserve">Cargo:</w:t>
            </w:r>
            <w:r>
              <w:rPr>
                <w:rFonts w:ascii="Times New Roman" w:hAnsi="Times New Roman" w:cs="Times New Roman"/>
                <w:sz w:val="25"/>
                <w:szCs w:val="25"/>
                <w:highlight w:val="none"/>
              </w:rPr>
            </w:r>
            <w:r>
              <w:rPr>
                <w:rFonts w:ascii="Times New Roman" w:hAnsi="Times New Roman" w:cs="Times New Roman"/>
                <w:sz w:val="25"/>
                <w:szCs w:val="25"/>
                <w:highlight w:val="none"/>
              </w:rPr>
            </w:r>
          </w:p>
        </w:tc>
        <w:tc>
          <w:tcPr>
            <w:tcBorders>
              <w:top w:val="single" w:color="000000" w:sz="4" w:space="0"/>
              <w:left w:val="single" w:color="000000" w:sz="4" w:space="0"/>
              <w:bottom w:val="single" w:color="000000" w:sz="4" w:space="0"/>
              <w:right w:val="single" w:color="000000" w:sz="4" w:space="0"/>
            </w:tcBorders>
            <w:tcW w:w="4039" w:type="dxa"/>
            <w:vAlign w:val="center"/>
            <w:vMerge w:val="restart"/>
            <w:textDirection w:val="lrTb"/>
            <w:noWrap w:val="false"/>
          </w:tcPr>
          <w:p>
            <w:pPr>
              <w:pStyle w:val="1028"/>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sz w:val="25"/>
                <w:szCs w:val="25"/>
              </w:rPr>
            </w:r>
            <w:r>
              <w:rPr>
                <w:rFonts w:ascii="Times New Roman" w:hAnsi="Times New Roman" w:eastAsia="Times New Roman" w:cs="Times New Roman"/>
                <w:i w:val="0"/>
                <w:iCs w:val="0"/>
                <w:color w:val="000000" w:themeColor="text1"/>
                <w:sz w:val="25"/>
                <w:szCs w:val="25"/>
              </w:rPr>
              <w:t xml:space="preserve">T</w:t>
            </w:r>
            <w:r>
              <w:rPr>
                <w:rFonts w:ascii="Times New Roman" w:hAnsi="Times New Roman" w:eastAsia="Times New Roman" w:cs="Times New Roman"/>
                <w:i w:val="0"/>
                <w:iCs w:val="0"/>
                <w:color w:val="000000" w:themeColor="text1"/>
                <w:sz w:val="25"/>
                <w:szCs w:val="25"/>
              </w:rPr>
              <w:t xml:space="preserve">halerson Sell Ferreira</w:t>
            </w:r>
            <w:r>
              <w:rPr>
                <w:rFonts w:ascii="Times New Roman" w:hAnsi="Times New Roman" w:eastAsia="Times New Roman" w:cs="Times New Roman"/>
                <w:bCs w:val="0"/>
                <w:i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eastAsia="Times New Roman" w:cs="Times New Roman"/>
                <w:bCs w:val="0"/>
                <w:i w:val="0"/>
                <w:color w:val="000000" w:themeColor="text1"/>
                <w:sz w:val="25"/>
                <w:szCs w:val="25"/>
                <w:highlight w:val="none"/>
              </w:rPr>
            </w:pP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bCs w:val="0"/>
                <w:i w:val="0"/>
                <w:color w:val="000000" w:themeColor="text1"/>
                <w:sz w:val="25"/>
                <w:szCs w:val="25"/>
                <w:highlight w:val="none"/>
              </w:rPr>
            </w:r>
          </w:p>
          <w:p>
            <w:pPr>
              <w:pBdr/>
              <w:spacing/>
              <w:ind/>
              <w:rPr>
                <w:rFonts w:ascii="Times New Roman" w:hAnsi="Times New Roman" w:eastAsia="Times New Roman" w:cs="Times New Roman"/>
                <w:sz w:val="25"/>
                <w:szCs w:val="25"/>
                <w:highlight w:val="none"/>
              </w:rPr>
            </w:pPr>
            <w:r>
              <w:rPr>
                <w:rFonts w:ascii="Times New Roman" w:hAnsi="Times New Roman" w:eastAsia="Times New Roman" w:cs="Times New Roman"/>
                <w:i w:val="0"/>
                <w:iCs w:val="0"/>
                <w:color w:val="000000" w:themeColor="text1"/>
                <w:sz w:val="25"/>
                <w:szCs w:val="25"/>
                <w:highlight w:val="none"/>
              </w:rPr>
            </w:r>
            <w:r>
              <w:rPr>
                <w:rFonts w:ascii="Times New Roman" w:hAnsi="Times New Roman" w:eastAsia="Times New Roman" w:cs="Times New Roman"/>
                <w:i w:val="0"/>
                <w:iCs w:val="0"/>
                <w:color w:val="000000" w:themeColor="text1"/>
                <w:sz w:val="25"/>
                <w:szCs w:val="25"/>
              </w:rPr>
              <w:t xml:space="preserve"> Sócio único</w:t>
            </w:r>
            <w:r>
              <w:rPr>
                <w:rFonts w:ascii="Times New Roman" w:hAnsi="Times New Roman" w:eastAsia="Times New Roman" w:cs="Times New Roman"/>
                <w:sz w:val="25"/>
                <w:szCs w:val="25"/>
                <w:highlight w:val="none"/>
              </w:rPr>
            </w:r>
            <w:r>
              <w:rPr>
                <w:rFonts w:ascii="Times New Roman" w:hAnsi="Times New Roman" w:eastAsia="Times New Roman" w:cs="Times New Roman"/>
                <w:sz w:val="25"/>
                <w:szCs w:val="25"/>
                <w:highlight w:val="none"/>
              </w:rPr>
            </w:r>
          </w:p>
        </w:tc>
      </w:tr>
      <w:tr>
        <w:trPr>
          <w:trHeight w:val="840"/>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Style w:val="1028"/>
              <w:pBdr/>
              <w:spacing w:line="300" w:lineRule="auto"/>
              <w:ind w:right="-8"/>
              <w:jc w:val="center"/>
              <w:rPr>
                <w:rFonts w:ascii="Times New Roman" w:hAnsi="Times New Roman" w:cs="Times New Roman"/>
                <w:b/>
                <w:color w:val="000000" w:themeColor="text1"/>
                <w:sz w:val="25"/>
                <w:szCs w:val="25"/>
                <w:highlight w:val="none"/>
              </w:rPr>
            </w:pPr>
            <w:r>
              <w:rPr>
                <w:rFonts w:ascii="Times New Roman" w:hAnsi="Times New Roman" w:eastAsia="Times New Roman" w:cs="Times New Roman"/>
                <w:b/>
                <w:bCs/>
                <w:color w:val="000000" w:themeColor="text1"/>
                <w:sz w:val="25"/>
                <w:szCs w:val="25"/>
              </w:rPr>
              <w:t xml:space="preserve">TESTEMUNHAS</w:t>
            </w:r>
            <w:r>
              <w:rPr>
                <w:rFonts w:ascii="Times New Roman" w:hAnsi="Times New Roman" w:cs="Times New Roman"/>
                <w:b/>
                <w:color w:val="000000" w:themeColor="text1"/>
                <w:sz w:val="25"/>
                <w:szCs w:val="25"/>
                <w:highlight w:val="none"/>
              </w:rPr>
            </w:r>
            <w:r>
              <w:rPr>
                <w:rFonts w:ascii="Times New Roman" w:hAnsi="Times New Roman" w:cs="Times New Roman"/>
                <w:b/>
                <w:color w:val="000000" w:themeColor="text1"/>
                <w:sz w:val="25"/>
                <w:szCs w:val="25"/>
                <w:highlight w:val="none"/>
              </w:rPr>
            </w:r>
          </w:p>
        </w:tc>
      </w:tr>
      <w:tr>
        <w:trPr>
          <w:trHeight w:val="5295"/>
        </w:trPr>
        <w:tc>
          <w:tcPr>
            <w:gridSpan w:val="4"/>
            <w:tcBorders>
              <w:top w:val="single" w:color="000000" w:sz="4" w:space="0"/>
              <w:left w:val="single" w:color="000000" w:sz="4" w:space="0"/>
              <w:bottom w:val="single" w:color="000000" w:sz="4" w:space="0"/>
              <w:right w:val="single" w:color="000000" w:sz="4" w:space="0"/>
            </w:tcBorders>
            <w:tcW w:w="9494" w:type="dxa"/>
            <w:vAlign w:val="center"/>
            <w:textDirection w:val="lrTb"/>
            <w:noWrap w:val="false"/>
          </w:tcPr>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p>
            <w:pPr>
              <w:pStyle w:val="1028"/>
              <w:pBdr/>
              <w:spacing w:line="300" w:lineRule="auto"/>
              <w:ind w:right="-8"/>
              <w:jc w:val="both"/>
              <w:rPr>
                <w:rFonts w:ascii="Times New Roman" w:hAnsi="Times New Roman" w:cs="Times New Roman"/>
                <w:color w:val="000000" w:themeColor="text1"/>
                <w:sz w:val="25"/>
                <w:szCs w:val="25"/>
                <w:highlight w:val="none"/>
              </w:rPr>
            </w:pPr>
            <w:r>
              <w:rPr>
                <w:rFonts w:ascii="Times New Roman" w:hAnsi="Times New Roman" w:eastAsia="Times New Roman" w:cs="Times New Roman"/>
                <w:color w:val="000000" w:themeColor="text1"/>
                <w:sz w:val="25"/>
                <w:szCs w:val="25"/>
              </w:rPr>
            </w:r>
            <w:r>
              <w:rPr>
                <w:rFonts w:ascii="Times New Roman" w:hAnsi="Times New Roman" w:cs="Times New Roman"/>
                <w:color w:val="000000" w:themeColor="text1"/>
                <w:sz w:val="25"/>
                <w:szCs w:val="25"/>
                <w:highlight w:val="none"/>
              </w:rPr>
            </w:r>
            <w:r>
              <w:rPr>
                <w:rFonts w:ascii="Times New Roman" w:hAnsi="Times New Roman" w:cs="Times New Roman"/>
                <w:color w:val="000000" w:themeColor="text1"/>
                <w:sz w:val="25"/>
                <w:szCs w:val="25"/>
                <w:highlight w:val="none"/>
              </w:rPr>
            </w:r>
          </w:p>
        </w:tc>
      </w:tr>
    </w:tbl>
    <w:p>
      <w:pPr>
        <w:pStyle w:val="1028"/>
        <w:widowControl w:val="false"/>
        <w:pBdr/>
        <w:spacing w:after="0" w:before="0" w:line="276" w:lineRule="auto"/>
        <w:ind w:left="425"/>
        <w:jc w:val="center"/>
        <w:rPr>
          <w:rFonts w:ascii="Times New Roman" w:hAnsi="Times New Roman" w:cs="Times New Roman"/>
          <w:b/>
          <w:bCs w:val="0"/>
          <w:i w:val="0"/>
          <w:color w:val="000000" w:themeColor="text1"/>
          <w:sz w:val="25"/>
          <w:szCs w:val="25"/>
          <w:highlight w:val="none"/>
        </w:rPr>
      </w:pPr>
      <w:r>
        <w:rPr>
          <w:rFonts w:ascii="Times New Roman" w:hAnsi="Times New Roman" w:eastAsia="Times New Roman" w:cs="Times New Roman"/>
          <w:b/>
          <w:bCs w:val="0"/>
          <w:i w:val="0"/>
          <w:color w:val="000000" w:themeColor="text1"/>
          <w:sz w:val="25"/>
          <w:szCs w:val="25"/>
        </w:rPr>
      </w:r>
      <w:r>
        <w:rPr>
          <w:rFonts w:ascii="Times New Roman" w:hAnsi="Times New Roman" w:cs="Times New Roman"/>
          <w:b/>
          <w:bCs w:val="0"/>
          <w:i w:val="0"/>
          <w:color w:val="000000" w:themeColor="text1"/>
          <w:sz w:val="25"/>
          <w:szCs w:val="25"/>
          <w:highlight w:val="none"/>
        </w:rPr>
      </w:r>
      <w:r>
        <w:rPr>
          <w:rFonts w:ascii="Times New Roman" w:hAnsi="Times New Roman" w:cs="Times New Roman"/>
          <w:b/>
          <w:bCs w:val="0"/>
          <w:i w:val="0"/>
          <w:color w:val="000000" w:themeColor="text1"/>
          <w:sz w:val="25"/>
          <w:szCs w:val="25"/>
          <w:highlight w:val="none"/>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1417" w:right="850" w:bottom="1417" w:left="851" w:header="403" w:footer="708" w:gutter="0"/>
      <w:cols w:num="1" w:sep="0" w:space="1701"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Autor" w:date="2026-05-20T14:08:50Z" w:initials="A">
    <w:p w14:paraId="00000001" w14:textId="00000001">
      <w:pPr>
        <w:spacing w:line="240" w:after="0" w:lineRule="auto" w:before="0"/>
        <w:ind w:firstLine="0" w:left="0" w:right="0"/>
        <w:jc w:val="left"/>
      </w:pPr>
      <w:r>
        <w:rPr>
          <w:rFonts w:eastAsia="Arial" w:ascii="Arial" w:hAnsi="Arial" w:cs="Arial"/>
          <w:sz w:val="22"/>
        </w:rPr>
        <w:t xml:space="preserve">Nota Explicativa: A sanção só cabe se o remanescente já assinou a ata e depois não atende convocação para firmar contrato ou instrumento equivalente: "Art. 45.  Após a homologação, o licitante vencedor será convocado para assinar o termo de contrato ou a ata de registro de preços, ou aceitar ou retirar o instrumento equivalente, no prazo estabelecido no edital de licitação, sob pena de decair o direito à contratação, sem prejuízo das sanções previstas na Lei nº 14.133, de 2021, e em outras legislações aplicáveis. [...] § 4º A recusa injustificada do adjudicatário em assinar o contrato ou a ata de registro de preço, ou em aceitar ou retirar o instrumento equivalente no prazo estabelecido pela AdministrA1+B1a da licitação.</w:t>
      </w:r>
    </w:p>
    <w:p w14:paraId="00000002" w14:textId="00000002">
      <w:pPr>
        <w:spacing w:line="240" w:after="0" w:lineRule="auto" w:before="0"/>
        <w:ind w:firstLine="0" w:left="0" w:right="0"/>
        <w:jc w:val="left"/>
      </w:pPr>
      <w:r>
        <w:rPr>
          <w:rFonts w:eastAsia="Arial" w:ascii="Arial" w:hAnsi="Arial" w:cs="Arial"/>
          <w:sz w:val="22"/>
        </w:rPr>
        <w:t xml:space="preserve">§ 5º A regra do § 4º não se aplicará aos licitantes remanescentes convocados na forma do inciso I do § 3º."</w:t>
      </w:r>
    </w:p>
  </w:comment>
  <w:comment w:id="10" w:author="Autor" w:date="2026-05-20T14:08:50Z" w:initials="A">
    <w:p w14:paraId="00000003" w14:textId="00000003">
      <w:pPr>
        <w:spacing w:line="240" w:after="0" w:lineRule="auto" w:before="0"/>
        <w:ind w:firstLine="0" w:left="0" w:right="0"/>
        <w:jc w:val="left"/>
      </w:pPr>
      <w:r>
        <w:rPr>
          <w:rFonts w:eastAsia="Arial" w:ascii="Arial" w:hAnsi="Arial" w:cs="Arial"/>
          <w:sz w:val="22"/>
        </w:rPr>
        <w:t xml:space="preserve">Nota Explicativa: O §3º do art. 28 do Decreto nº 11.462/2023, prevê: "§ 3º  Na hipótese de cancelamento do registro do fornecedor, o órgão ou a entidade gerenciadora poderá convocar os licitantes que compõem o cadastro de reserva, observada a ordem de classificação."</w:t>
      </w:r>
    </w:p>
  </w:comment>
  <w:comment w:id="9" w:author="Autor" w:date="2026-05-20T14:08:50Z" w:initials="A">
    <w:p w14:paraId="00000004" w14:textId="00000004">
      <w:pPr>
        <w:spacing w:line="240" w:after="0" w:lineRule="auto" w:before="0"/>
        <w:ind w:firstLine="0" w:left="0" w:right="0"/>
        <w:jc w:val="left"/>
      </w:pPr>
      <w:r>
        <w:rPr>
          <w:rFonts w:eastAsia="Arial" w:ascii="Arial" w:hAnsi="Arial" w:cs="Arial"/>
          <w:sz w:val="22"/>
        </w:rPr>
        <w:t xml:space="preserve">Nota Explicativa: Restringindo-se o reequilíbrio a alguns itens fornecidos em circunstâncias específicas, a ata poderá prever preços distintos na forma do artigo 82, III, da Lei nº 14.133, de 2021.</w:t>
      </w:r>
    </w:p>
  </w:comment>
  <w:comment w:id="8" w:author="Autor" w:date="2026-05-20T14:08:50Z" w:initials="A">
    <w:p w14:paraId="00000005" w14:textId="00000005">
      <w:pPr>
        <w:spacing w:line="240" w:after="0" w:lineRule="auto" w:before="0"/>
        <w:ind w:firstLine="0" w:left="0" w:right="0"/>
        <w:jc w:val="left"/>
      </w:pPr>
      <w:r>
        <w:rPr>
          <w:rFonts w:eastAsia="Arial" w:ascii="Arial" w:hAnsi="Arial" w:cs="Arial"/>
          <w:sz w:val="22"/>
        </w:rPr>
        <w:t xml:space="preserve">Nota Explicativa: O artigo 84 da Lei 14.133 fixa o prazo de 1 (um) ano para a ata de registro de preços, admitindo a prorrogação por igual período.</w:t>
      </w:r>
    </w:p>
  </w:comment>
  <w:comment w:id="7" w:author="Autor" w:date="2026-05-20T14:08:50Z" w:initials="A">
    <w:p w14:paraId="00000006" w14:textId="00000006">
      <w:pPr>
        <w:spacing w:line="240" w:after="0" w:lineRule="auto" w:before="0"/>
        <w:ind w:firstLine="0" w:left="0" w:right="0"/>
        <w:jc w:val="left"/>
      </w:pPr>
      <w:r>
        <w:rPr>
          <w:rFonts w:eastAsia="Arial" w:ascii="Arial" w:hAnsi="Arial" w:cs="Arial"/>
          <w:sz w:val="22"/>
        </w:rPr>
        <w:t xml:space="preserve">Nota Explicativa: A possibilidade de vedação de adesão existe, por exemplo, na hipótese do parágrafo único do art. 4º do Decreto: </w:t>
      </w:r>
    </w:p>
    <w:p w14:paraId="00000007" w14:textId="00000007">
      <w:pPr>
        <w:spacing w:line="240" w:after="0" w:lineRule="auto" w:before="0"/>
        <w:ind w:firstLine="0" w:left="0" w:right="0"/>
        <w:jc w:val="left"/>
      </w:pPr>
      <w:r>
        <w:rPr>
          <w:rFonts w:eastAsia="Arial" w:ascii="Arial" w:hAnsi="Arial" w:cs="Arial"/>
          <w:sz w:val="22"/>
        </w:rPr>
        <w:t xml:space="preserve">"Art. 4º  É permitido o registro de preços com indicação limitada a unidades de contratação, sem indicação do total a ser adquirido, apenas nas seguintes situações:</w:t>
      </w:r>
    </w:p>
    <w:p w14:paraId="00000008" w14:textId="00000008">
      <w:pPr>
        <w:spacing w:line="240" w:after="0" w:lineRule="auto" w:before="0"/>
        <w:ind w:firstLine="0" w:left="0" w:right="0"/>
        <w:jc w:val="left"/>
      </w:pPr>
      <w:r>
        <w:rPr>
          <w:rFonts w:eastAsia="Arial" w:ascii="Arial" w:hAnsi="Arial" w:cs="Arial"/>
          <w:sz w:val="22"/>
        </w:rPr>
        <w:t xml:space="preserve">I - quando for a primeira licitação ou contratação direta para o objeto e o órgão ou a entidade não tiver registro de demandas anteriores;</w:t>
      </w:r>
    </w:p>
    <w:p w14:paraId="00000009" w14:textId="00000009">
      <w:pPr>
        <w:spacing w:line="240" w:after="0" w:lineRule="auto" w:before="0"/>
        <w:ind w:firstLine="0" w:left="0" w:right="0"/>
        <w:jc w:val="left"/>
      </w:pPr>
      <w:r>
        <w:rPr>
          <w:rFonts w:eastAsia="Arial" w:ascii="Arial" w:hAnsi="Arial" w:cs="Arial"/>
          <w:sz w:val="22"/>
        </w:rPr>
        <w:t xml:space="preserve">II - no caso de alimento perecível; ou</w:t>
      </w:r>
    </w:p>
    <w:p w14:paraId="0000000A" w14:textId="0000000A">
      <w:pPr>
        <w:spacing w:line="240" w:after="0" w:lineRule="auto" w:before="0"/>
        <w:ind w:firstLine="0" w:left="0" w:right="0"/>
        <w:jc w:val="left"/>
      </w:pPr>
      <w:r>
        <w:rPr>
          <w:rFonts w:eastAsia="Arial" w:ascii="Arial" w:hAnsi="Arial" w:cs="Arial"/>
          <w:sz w:val="22"/>
        </w:rPr>
        <w:t xml:space="preserve">III - no caso em que o serviço estiver integrado ao fornecimento de bens.</w:t>
      </w:r>
    </w:p>
    <w:p w14:paraId="0000000B" w14:textId="0000000B">
      <w:pPr>
        <w:spacing w:line="240" w:after="0" w:lineRule="auto" w:before="0"/>
        <w:ind w:firstLine="0" w:left="0" w:right="0"/>
        <w:jc w:val="left"/>
      </w:pPr>
      <w:r>
        <w:rPr>
          <w:rFonts w:eastAsia="Arial" w:ascii="Arial" w:hAnsi="Arial" w:cs="Arial"/>
          <w:sz w:val="22"/>
        </w:rPr>
        <w:t xml:space="preserve">Parágrafo único.  Nas situações referidas no caput, é obrigatória a indicação do valor máximo da despesa e é vedada a participação de outro órgão ou entidade na ata."</w:t>
      </w:r>
    </w:p>
    <w:p w14:paraId="0000000C" w14:textId="0000000C">
      <w:pPr>
        <w:spacing w:line="240" w:after="0" w:lineRule="auto" w:before="0"/>
        <w:ind w:firstLine="0" w:left="0" w:right="0"/>
        <w:jc w:val="left"/>
      </w:pPr>
      <w:r>
        <w:rPr>
          <w:rFonts w:eastAsia="Arial" w:ascii="Arial" w:hAnsi="Arial" w:cs="Arial"/>
          <w:sz w:val="22"/>
        </w:rPr>
        <w:t xml:space="preserve"/>
      </w:r>
    </w:p>
    <w:p w14:paraId="0000000D" w14:textId="0000000D">
      <w:pPr>
        <w:spacing w:line="240" w:after="0" w:lineRule="auto" w:before="0"/>
        <w:ind w:firstLine="0" w:left="0" w:right="0"/>
        <w:jc w:val="left"/>
      </w:pPr>
      <w:r>
        <w:rPr>
          <w:rFonts w:eastAsia="Arial" w:ascii="Arial" w:hAnsi="Arial" w:cs="Arial"/>
          <w:sz w:val="22"/>
        </w:rPr>
        <w:t xml:space="preserve">Além disso, em razão da capacidade de gerenciamento do gerenciador, ele pode negar adesões posteriores, conforme art. 7º, I e XI, do Decreto: "Art. 7º  Compete ao órgão ou à entidade gerenciadora praticar todos os atos de controle e de administração do SRP, em especial:</w:t>
      </w:r>
    </w:p>
    <w:p w14:paraId="0000000E" w14:textId="0000000E">
      <w:pPr>
        <w:spacing w:line="240" w:after="0" w:lineRule="auto" w:before="0"/>
        <w:ind w:firstLine="0" w:left="0" w:right="0"/>
        <w:jc w:val="left"/>
      </w:pPr>
      <w:r>
        <w:rPr>
          <w:rFonts w:eastAsia="Arial" w:ascii="Arial" w:hAnsi="Arial" w:cs="Arial"/>
          <w:sz w:val="22"/>
        </w:rPr>
        <w:t xml:space="preserve">I - realizar procedimento público de intenção de registro de preços - IRP e, quando for o caso, estabelecer o número máximo de participantes, em conformidade com sua capacidade de gerenciamento;</w:t>
      </w:r>
    </w:p>
    <w:p w14:paraId="0000000F" w14:textId="0000000F">
      <w:pPr>
        <w:spacing w:line="240" w:after="0" w:lineRule="auto" w:before="0"/>
        <w:ind w:firstLine="0" w:left="0" w:right="0"/>
        <w:jc w:val="left"/>
      </w:pPr>
      <w:r>
        <w:rPr>
          <w:rFonts w:eastAsia="Arial" w:ascii="Arial" w:hAnsi="Arial" w:cs="Arial"/>
          <w:sz w:val="22"/>
        </w:rPr>
        <w:t xml:space="preserve">[...]</w:t>
      </w:r>
    </w:p>
    <w:p w14:paraId="00000010" w14:textId="00000010">
      <w:pPr>
        <w:spacing w:line="240" w:after="0" w:lineRule="auto" w:before="0"/>
        <w:ind w:firstLine="0" w:left="0" w:right="0"/>
        <w:jc w:val="left"/>
      </w:pPr>
      <w:r>
        <w:rPr>
          <w:rFonts w:eastAsia="Arial" w:ascii="Arial" w:hAnsi="Arial" w:cs="Arial"/>
          <w:sz w:val="22"/>
        </w:rPr>
        <w:t xml:space="preserve">XI - deliberar quanto à adesão posterior de órgãos e entidades que não tenham manifestado interesse durante o período de divulgação da IRP;"</w:t>
      </w:r>
    </w:p>
    <w:p w14:paraId="00000011" w14:textId="00000011">
      <w:pPr>
        <w:spacing w:line="240" w:after="0" w:lineRule="auto" w:before="0"/>
        <w:ind w:firstLine="0" w:left="0" w:right="0"/>
        <w:jc w:val="left"/>
      </w:pPr>
      <w:r>
        <w:rPr>
          <w:rFonts w:eastAsia="Arial" w:ascii="Arial" w:hAnsi="Arial" w:cs="Arial"/>
          <w:sz w:val="22"/>
        </w:rPr>
        <w:t xml:space="preserve"/>
      </w:r>
    </w:p>
    <w:p w14:paraId="00000012" w14:textId="00000012">
      <w:pPr>
        <w:spacing w:line="240" w:after="0" w:lineRule="auto" w:before="0"/>
        <w:ind w:firstLine="0" w:left="0" w:right="0"/>
        <w:jc w:val="left"/>
      </w:pPr>
      <w:r>
        <w:rPr>
          <w:rFonts w:eastAsia="Arial" w:ascii="Arial" w:hAnsi="Arial" w:cs="Arial"/>
          <w:sz w:val="22"/>
        </w:rPr>
        <w:t xml:space="preserve">Assim, desde que devidamente justificado nos Estudos Técnicos Preliminares, poderá ser vedada a adesão, de forma prévia, a órgãos não-participantes.</w:t>
      </w:r>
    </w:p>
  </w:comment>
  <w:comment w:id="6" w:author="Autor" w:date="2026-05-20T14:08:50Z" w:initials="A">
    <w:p w14:paraId="00000013" w14:textId="00000013">
      <w:pPr>
        <w:spacing w:line="240" w:after="0" w:lineRule="auto" w:before="0"/>
        <w:ind w:firstLine="0" w:left="0" w:right="0"/>
        <w:jc w:val="left"/>
      </w:pPr>
      <w:r>
        <w:rPr>
          <w:rFonts w:eastAsia="Arial" w:ascii="Arial" w:hAnsi="Arial" w:cs="Arial"/>
          <w:sz w:val="22"/>
        </w:rPr>
        <w:t xml:space="preserve">Nota Explicativa: O órgão gerenciador, previamente à abertura do certame, deverá registrar sua Intenção de Registro de Preços – IRP, com prazo mínimo de oito dias úteis, contado a partir do 1º dia útil subsequente à data da intenção de registro de preços no SRP digital e no Portal Nacional de Contratações Públicas – PNCP, antes de publicar o Edital. Não havendo órgãos participantes, suprimir o item. (art. 9º do Decreto nº 11.462/2023)</w:t>
      </w:r>
    </w:p>
  </w:comment>
  <w:comment w:id="5" w:author="Autor" w:date="2026-05-20T14:08:50Z" w:initials="A">
    <w:p w14:paraId="00000014" w14:textId="00000014">
      <w:pPr>
        <w:spacing w:line="240" w:after="0" w:lineRule="auto" w:before="0"/>
        <w:ind w:firstLine="0" w:left="0" w:right="0"/>
        <w:jc w:val="left"/>
      </w:pPr>
      <w:r>
        <w:rPr>
          <w:rFonts w:eastAsia="Arial" w:ascii="Arial" w:hAnsi="Arial" w:cs="Arial"/>
          <w:sz w:val="22"/>
        </w:rPr>
        <w:t xml:space="preserve">Nota Explicativa: Não será permitida participação de outro órgão ou entidade quando não houver indicação dos quantitativos totais a ser contratados, na forma do art. 4º e parágrafo único do Decreto nº 11.462/2023.</w:t>
      </w:r>
    </w:p>
  </w:comment>
  <w:comment w:id="4" w:author="Autor" w:date="2025-03-20T14:47:00Z" w:initials="A">
    <w:p w14:paraId="00000015" w14:textId="00000015">
      <w:pPr>
        <w:spacing w:line="240" w:after="0" w:lineRule="auto" w:before="0"/>
        <w:ind w:firstLine="0" w:left="0" w:right="0"/>
        <w:jc w:val="left"/>
      </w:pPr>
      <w:r>
        <w:rPr>
          <w:rFonts w:eastAsia="Arial" w:ascii="Arial" w:hAnsi="Arial" w:cs="Arial"/>
          <w:sz w:val="22"/>
        </w:rPr>
        <w:t xml:space="preserve">Nota Explicativa. No artigo 82, § 3º, da Lei 14.133, permite-se o registro de preços com indicação limitada a unidades de contratação, sem indicação do total a ser adquirido, apenas nas seguintes situações:</w:t>
      </w:r>
    </w:p>
    <w:p w14:paraId="00000016" w14:textId="00000016">
      <w:pPr>
        <w:spacing w:line="240" w:after="0" w:lineRule="auto" w:before="0"/>
        <w:ind w:firstLine="0" w:left="0" w:right="0"/>
        <w:jc w:val="left"/>
      </w:pPr>
      <w:r>
        <w:rPr>
          <w:rFonts w:eastAsia="Arial" w:ascii="Arial" w:hAnsi="Arial" w:cs="Arial"/>
          <w:sz w:val="22"/>
        </w:rPr>
        <w:t xml:space="preserve">I - quando for a primeira licitação para o objeto e o órgão ou entidade não tiver registro de demandas anteriores;</w:t>
      </w:r>
    </w:p>
    <w:p w14:paraId="00000017" w14:textId="00000017">
      <w:pPr>
        <w:spacing w:line="240" w:after="0" w:lineRule="auto" w:before="0"/>
        <w:ind w:firstLine="0" w:left="0" w:right="0"/>
        <w:jc w:val="left"/>
      </w:pPr>
      <w:r>
        <w:rPr>
          <w:rFonts w:eastAsia="Arial" w:ascii="Arial" w:hAnsi="Arial" w:cs="Arial"/>
          <w:sz w:val="22"/>
        </w:rPr>
        <w:t xml:space="preserve">II - no caso de alimento perecível;</w:t>
      </w:r>
    </w:p>
    <w:p w14:paraId="00000018" w14:textId="00000018">
      <w:pPr>
        <w:spacing w:line="240" w:after="0" w:lineRule="auto" w:before="0"/>
        <w:ind w:firstLine="0" w:left="0" w:right="0"/>
        <w:jc w:val="left"/>
      </w:pPr>
      <w:r>
        <w:rPr>
          <w:rFonts w:eastAsia="Arial" w:ascii="Arial" w:hAnsi="Arial" w:cs="Arial"/>
          <w:sz w:val="22"/>
        </w:rPr>
        <w:t xml:space="preserve">III - no caso em que o serviço estiver integrado ao fornecimento de bens.</w:t>
      </w:r>
    </w:p>
    <w:p w14:paraId="00000019" w14:textId="00000019">
      <w:pPr>
        <w:spacing w:line="240" w:after="0" w:lineRule="auto" w:before="0"/>
        <w:ind w:firstLine="0" w:left="0" w:right="0"/>
        <w:jc w:val="left"/>
      </w:pPr>
      <w:r>
        <w:rPr>
          <w:rFonts w:eastAsia="Arial" w:ascii="Arial" w:hAnsi="Arial" w:cs="Arial"/>
          <w:sz w:val="22"/>
        </w:rPr>
        <w:t xml:space="preserve">Nessas situações, é obrigatória a indicação do valor máximo da despesa e é vedada a participação de outro órgão ou entidade na ata.</w:t>
      </w:r>
    </w:p>
    <w:p w14:paraId="0000001A" w14:textId="0000001A">
      <w:pPr>
        <w:spacing w:line="240" w:after="0" w:lineRule="auto" w:before="0"/>
        <w:ind w:firstLine="0" w:left="0" w:right="0"/>
        <w:jc w:val="left"/>
      </w:pPr>
      <w:r>
        <w:rPr>
          <w:rFonts w:eastAsia="Arial" w:ascii="Arial" w:hAnsi="Arial" w:cs="Arial"/>
          <w:sz w:val="22"/>
        </w:rPr>
        <w:t xml:space="preserve">O artigo 4º do Decreto 11.462, de 31/3/2023, possui a mesma redação da lei.</w:t>
      </w:r>
    </w:p>
  </w:comment>
  <w:comment w:id="3" w:author="Autor" w:date="2025-03-20T14:47:00Z" w:initials="A">
    <w:p w14:paraId="0000001B" w14:textId="0000001B">
      <w:pPr>
        <w:spacing w:line="240" w:after="0" w:lineRule="auto" w:before="0"/>
        <w:ind w:firstLine="0" w:left="0" w:right="0"/>
        <w:jc w:val="left"/>
      </w:pPr>
      <w:r>
        <w:rPr>
          <w:rFonts w:eastAsia="Arial" w:ascii="Arial" w:hAnsi="Arial" w:cs="Arial"/>
          <w:sz w:val="22"/>
        </w:rPr>
        <w:t xml:space="preserve">Nota Explicativa: O preço registrado, com a indicação dos fornecedores, será divulgado no PNCP e disponibilizado durante a vigência da ata de registro de preços. (§ 4º, art. 18 do Decreto Nº11.462, de 2023.)</w:t>
      </w:r>
    </w:p>
  </w:comment>
  <w:comment w:id="2" w:author="Usuário" w:date="2025-03-20T16:17:00Z" w:initials="U">
    <w:p w14:paraId="0000001C" w14:textId="0000001C">
      <w:pPr>
        <w:spacing w:line="240" w:after="0" w:lineRule="auto" w:before="0"/>
        <w:ind w:firstLine="0" w:left="0" w:right="0"/>
        <w:jc w:val="left"/>
      </w:pPr>
      <w:r>
        <w:rPr>
          <w:rFonts w:eastAsia="Arial" w:ascii="Arial" w:hAnsi="Arial" w:cs="Arial"/>
          <w:sz w:val="22"/>
        </w:rPr>
        <w:t xml:space="preserve">No documento da contabilidade tá o decreto 001/2024 . Qual o correto?</w:t>
      </w:r>
    </w:p>
  </w:comment>
  <w:comment w:id="0" w:author="Francismar Gonçalves" w:date="2025-03-21T14:32:00Z" w:initials="FG">
    <w:p w14:paraId="0000001D" w14:textId="0000001D">
      <w:pPr>
        <w:spacing w:line="240" w:after="0" w:lineRule="auto" w:before="0"/>
        <w:ind w:firstLine="0" w:left="0" w:right="0"/>
        <w:jc w:val="left"/>
      </w:pPr>
      <w:r>
        <w:rPr>
          <w:rFonts w:eastAsia="Arial" w:ascii="Arial" w:hAnsi="Arial" w:cs="Arial"/>
          <w:sz w:val="22"/>
        </w:rPr>
        <w:t xml:space="preserve">O decreto que regulamenta a utilização do Decreto Federal 11.462 no âmbito do CISRU Centro Sul é o 005/2024.</w:t>
      </w:r>
    </w:p>
  </w:comment>
  <w:comment w:id="1" w:author="Unknown Author" w:date="2026-05-08T12:34:15Z">
    <w:p w14:paraId="0000001E" w14:textId="0000001E">
      <w:pPr>
        <w:spacing w:line="240" w:after="0" w:lineRule="auto" w:before="0"/>
        <w:ind w:firstLine="0" w:left="0" w:right="0"/>
        <w:jc w:val="left"/>
      </w:pPr>
      <w:r>
        <w:rPr>
          <w:rFonts w:eastAsia="Arial" w:ascii="Arial" w:hAnsi="Arial" w:cs="Arial"/>
          <w:sz w:val="22"/>
        </w:rPr>
        <w:t xml:space="preserve">Reply to Francismar Gonçalves (21/03/2025, 14:32): "..."</w:t>
      </w:r>
    </w:p>
    <w:p w14:paraId="0000001F" w14:textId="0000001F">
      <w:pPr>
        <w:spacing w:line="240" w:after="0" w:lineRule="auto" w:before="0"/>
        <w:ind w:firstLine="0" w:left="0" w:right="0"/>
        <w:jc w:val="left"/>
      </w:pPr>
      <w:r>
        <w:rPr>
          <w:rFonts w:eastAsia="Arial" w:ascii="Arial" w:hAnsi="Arial" w:cs="Arial"/>
          <w:sz w:val="22"/>
        </w:rPr>
        <w:t xml:space="preserve"/>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1"/>
  <w15:commentEx w15:paraId="00000003" w15:done="1"/>
  <w15:commentEx w15:paraId="00000004" w15:done="1"/>
  <w15:commentEx w15:paraId="00000005" w15:done="1"/>
  <w15:commentEx w15:paraId="00000012" w15:done="1"/>
  <w15:commentEx w15:paraId="00000013" w15:done="1"/>
  <w15:commentEx w15:paraId="00000014" w15:done="1"/>
  <w15:commentEx w15:paraId="0000001A" w15:done="1"/>
  <w15:commentEx w15:paraId="0000001B" w15:done="1"/>
  <w15:commentEx w15:paraId="0000001C" w15:done="1"/>
  <w15:commentEx w15:paraId="0000001D" w15:done="1"/>
  <w15:commentEx w15:paraId="0000001F" w15:paraIdParent="0000001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52C4B72" w16cex:dateUtc="2026-05-20T17:08:50Z"/>
  <w16cex:commentExtensible w16cex:durableId="3CB02392" w16cex:dateUtc="2026-05-20T17:08:50Z"/>
  <w16cex:commentExtensible w16cex:durableId="6387D9A8" w16cex:dateUtc="2026-05-20T17:08:50Z"/>
  <w16cex:commentExtensible w16cex:durableId="4C2223BF" w16cex:dateUtc="2026-05-20T17:08:50Z"/>
  <w16cex:commentExtensible w16cex:durableId="511323A5" w16cex:dateUtc="2026-05-20T17:08:50Z"/>
  <w16cex:commentExtensible w16cex:durableId="573662A2" w16cex:dateUtc="2026-05-20T17:08:50Z"/>
  <w16cex:commentExtensible w16cex:durableId="6746B0D4" w16cex:dateUtc="2026-05-20T17:08:50Z"/>
  <w16cex:commentExtensible w16cex:durableId="2EEE86A3" w16cex:dateUtc="2025-03-20T17:47:00Z"/>
  <w16cex:commentExtensible w16cex:durableId="59360160" w16cex:dateUtc="2025-03-20T17:47:00Z"/>
  <w16cex:commentExtensible w16cex:durableId="4FEA17E8" w16cex:dateUtc="2025-03-20T19:17:00Z"/>
</w16cex:commentsExtensible>
</file>

<file path=word/commentsIds.xml><?xml version="1.0" encoding="utf-8"?>
<w16cid:commentsIds xmlns:mc="http://schemas.openxmlformats.org/markup-compatibility/2006" xmlns:w16cid="http://schemas.microsoft.com/office/word/2016/wordml/cid" mc:Ignorable="w16cid">
  <w16cid:commentId w16cid:paraId="00000002" w16cid:durableId="052C4B72"/>
  <w16cid:commentId w16cid:paraId="00000003" w16cid:durableId="3CB02392"/>
  <w16cid:commentId w16cid:paraId="00000004" w16cid:durableId="6387D9A8"/>
  <w16cid:commentId w16cid:paraId="00000005" w16cid:durableId="4C2223BF"/>
  <w16cid:commentId w16cid:paraId="00000012" w16cid:durableId="511323A5"/>
  <w16cid:commentId w16cid:paraId="00000013" w16cid:durableId="573662A2"/>
  <w16cid:commentId w16cid:paraId="00000014" w16cid:durableId="6746B0D4"/>
  <w16cid:commentId w16cid:paraId="0000001A" w16cid:durableId="2EEE86A3"/>
  <w16cid:commentId w16cid:paraId="0000001B" w16cid:durableId="59360160"/>
  <w16cid:commentId w16cid:paraId="0000001C" w16cid:durableId="4FEA17E8"/>
  <w16cid:commentId w16cid:paraId="0000001D" w16cid:durableId="26882A6B"/>
  <w16cid:commentId w16cid:paraId="0000001F" w16cid:durableId="059543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Arial">
    <w:panose1 w:val="020B0604020202020204"/>
  </w:font>
  <w:font w:name="Noto Sans CJK SC">
    <w:panose1 w:val="05040102010807070707"/>
  </w:font>
  <w:font w:name="Tahoma">
    <w:panose1 w:val="020B0604030504040204"/>
  </w:font>
  <w:font w:name="Segoe UI">
    <w:panose1 w:val="020B0502040204020203"/>
  </w:font>
  <w:font w:name="Ecofont_Spranq_eco_Sans">
    <w:panose1 w:val="05040102010807070707"/>
  </w:font>
  <w:font w:name="Liberation Sans">
    <w:panose1 w:val="020B0604020202020204"/>
  </w:font>
  <w:font w:name="Noto Serif CJK SC">
    <w:panose1 w:val="05040102010807070707"/>
  </w:font>
  <w:font w:name="Cambria">
    <w:panose1 w:val="02040503050406030204"/>
  </w:font>
  <w:font w:name="Noto Sans Devanagari">
    <w:panose1 w:val="05040102010807070707"/>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t xml:space="preserve">DISTRIMIX DISTRIBUIDORA DE MEDICAMENTOS LTDA, inscrito(a) no CNPJ/MF sob o nº 01.417.694/0001-20, sediada na RUA.AV PRESIDENTE TANCREDO NEVES, Nº.2103, COMPLEME</w:t>
    </w:r>
    <w:r>
      <w:t xml:space="preserve">NTO.................................., Bairro ZACARIAS  em CARATINGA, CEP: .35.300-571, neste ato representada por .................................. (nome e função no contratado), conforme atos constitutivos da empresa OU procuração apresentada nos autos;</w:t>
    </w:r>
    <w:r/>
  </w:p>
  <w:p>
    <w:pPr>
      <w:pStyle w:val="1028"/>
      <w:pBdr/>
      <w:spacing/>
      <w:ind/>
      <w:rPr/>
    </w:pPr>
    <w: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
        <w:bCs/>
        <w:i w:val="0"/>
        <w:iCs w:val="0"/>
        <w:color w:val="000000" w:themeColor="text1"/>
        <w:sz w:val="24"/>
        <w:szCs w:val="24"/>
      </w:rPr>
      <w:t xml:space="preserve">CRISTALIA PRODUTOS QUIMICOS FARMACEUTICOS LTDA</w:t>
    </w:r>
    <w:r>
      <w:rPr>
        <w:rFonts w:ascii="Times New Roman" w:hAnsi="Times New Roman" w:cs="Times New Roman"/>
        <w:i w:val="0"/>
        <w:iCs w:val="0"/>
        <w:color w:val="000000" w:themeColor="text1"/>
        <w:sz w:val="24"/>
        <w:szCs w:val="24"/>
      </w:rPr>
      <w:t xml:space="preserve">, inscrito(a) no CNPJ/MF sob o nº 44.734.671/0022-86</w:t>
    </w:r>
    <w:r>
      <w:rPr>
        <w:rFonts w:ascii="Times New Roman" w:hAnsi="Times New Roman" w:cs="Times New Roman"/>
        <w:b/>
        <w:bCs/>
        <w:i w:val="0"/>
        <w:iCs w:val="0"/>
        <w:color w:val="000000" w:themeColor="text1"/>
        <w:sz w:val="24"/>
        <w:szCs w:val="24"/>
      </w:rPr>
      <w:t xml:space="preserve"> </w:t>
    </w:r>
    <w:r>
      <w:rPr>
        <w:rFonts w:ascii="Times New Roman" w:hAnsi="Times New Roman" w:cs="Times New Roman"/>
        <w:i w:val="0"/>
        <w:iCs w:val="0"/>
        <w:color w:val="000000" w:themeColor="text1"/>
        <w:sz w:val="24"/>
        <w:szCs w:val="24"/>
      </w:rPr>
      <w:t xml:space="preserve">sediada na RUAROD RODOVIA MONSENHOR CLODOALDO DE PAIVA, NºS/N., COMPLEMENTOKM 46.2, BairroLO TEAMENTO NACOES UNIDAS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0"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i w:val="0"/>
        <w:iCs w:val="0"/>
        <w:color w:val="000000" w:themeColor="text1"/>
        <w:sz w:val="24"/>
        <w:szCs w:val="24"/>
      </w:rPr>
      <w:t xml:space="preserve">em  ITAPIRA , CEP: 13.974-908, neste ato representada por .................................. (nome e função no contratado), conforme atos constitutivos da empresa OU procuração apresentada nos autos;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0"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
        <w:bCs/>
        <w:i w:val="0"/>
        <w:iCs w:val="0"/>
        <w:color w:val="000000" w:themeColor="text1"/>
        <w:sz w:val="24"/>
        <w:szCs w:val="24"/>
      </w:rPr>
      <w:t xml:space="preserve">EMENALLI MEDICAL LTDA</w:t>
    </w:r>
    <w:r>
      <w:rPr>
        <w:rFonts w:ascii="Times New Roman" w:hAnsi="Times New Roman" w:cs="Times New Roman"/>
        <w:i w:val="0"/>
        <w:iCs w:val="0"/>
        <w:color w:val="000000" w:themeColor="text1"/>
        <w:sz w:val="24"/>
        <w:szCs w:val="24"/>
      </w:rPr>
      <w:t xml:space="preserve">, inscrito(a) no CNPJ/MF sob o nº13.694.036/0001-64</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sediada na RUAR CASTELO SETUBAL, Nº.130, COMPLEMENTO.................................., Bairro CASTELO em  BELO HORIZONTE</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CEP:31.330-090, neste ato representada por .................................. (nome e função no contratado), conforme atos constitutivos da empresa OU procuração apresentada nos autos;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b/>
        <w:bCs/>
        <w:iCs w:val="0"/>
      </w:rPr>
      <w:t xml:space="preserve">ILG COMERCIAL LTDA</w:t>
    </w:r>
    <w:r>
      <w:rPr>
        <w:iCs w:val="0"/>
      </w:rPr>
      <w:t xml:space="preserve">, inscrito(a) no CNPJ/MF sob o nº20.657.155/0001-02</w:t>
    </w:r>
    <w:r>
      <w:rPr>
        <w:b/>
        <w:bCs/>
        <w:iCs w:val="0"/>
      </w:rPr>
      <w:t xml:space="preserve">,</w:t>
    </w:r>
    <w:r>
      <w:rPr>
        <w:iCs w:val="0"/>
      </w:rPr>
      <w:t xml:space="preserve"> sediada na RUAR ITACOLOMI, Nº377, COMPLEMENTO.................................., Bairro LA SALLE em  PATO BRANCO</w:t>
    </w:r>
    <w:r>
      <w:rPr>
        <w:b/>
        <w:bCs/>
        <w:iCs w:val="0"/>
      </w:rPr>
      <w:t xml:space="preserve">,</w:t>
    </w:r>
    <w:r>
      <w:rPr>
        <w:iCs w:val="0"/>
      </w:rPr>
      <w:t xml:space="preserve"> CEP: 85.505-050 neste ato representada por .................................. (nome e função no contratado), conforme atos constitutivos da empresa OU procuração apresentada nos autos;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
        <w:bCs/>
        <w:i w:val="0"/>
        <w:iCs w:val="0"/>
        <w:color w:val="000000" w:themeColor="text1"/>
        <w:sz w:val="24"/>
        <w:szCs w:val="24"/>
      </w:rPr>
      <w:t xml:space="preserve">MEDH DISTRIBUIDORA DE MEDICAMENTOS LTDA</w:t>
    </w:r>
    <w:r>
      <w:rPr>
        <w:rFonts w:ascii="Times New Roman" w:hAnsi="Times New Roman" w:cs="Times New Roman"/>
        <w:i w:val="0"/>
        <w:iCs w:val="0"/>
        <w:color w:val="000000" w:themeColor="text1"/>
        <w:sz w:val="24"/>
        <w:szCs w:val="24"/>
      </w:rPr>
      <w:t xml:space="preserve">, inscrito(a) no CNPJ/MF sob o nº 18.917.657/0001-83</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sediada na RUA AV NIAGARA, Nº1076,  COMPLEMENTO.................................., Bairro JARDIM CANADA em  NOVA LIMA</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CEP: 34.007-652, neste ato representada por .................................. (nome e função no contratado), conforme atos constitutivos da empresa OU procuração apresentada nos autos;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b/>
        <w:bCs/>
        <w:i w:val="0"/>
        <w:iCs w:val="0"/>
        <w:color w:val="000000" w:themeColor="text1"/>
        <w:sz w:val="24"/>
        <w:szCs w:val="24"/>
      </w:rPr>
      <w:t xml:space="preserve">TS FARMA DISTRIBUIDORA LTDA</w:t>
    </w:r>
    <w:r>
      <w:rPr>
        <w:rFonts w:ascii="Times New Roman" w:hAnsi="Times New Roman" w:cs="Times New Roman"/>
        <w:i w:val="0"/>
        <w:iCs w:val="0"/>
        <w:color w:val="000000" w:themeColor="text1"/>
        <w:sz w:val="24"/>
        <w:szCs w:val="24"/>
      </w:rPr>
      <w:t xml:space="preserve">, inscrito(a) no CNPJ/MF sob o nº 21.189.554/0001-59</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sediada na RUA AL ENGENHEIRO GENTIL FORN, Nº1694,  COMPLEMENTO.SALA 204, Bairro SAO PEDRO em  JUIZ DE FORA</w:t>
    </w:r>
    <w:r>
      <w:rPr>
        <w:rFonts w:ascii="Times New Roman" w:hAnsi="Times New Roman" w:cs="Times New Roman"/>
        <w:b/>
        <w:bCs/>
        <w:i w:val="0"/>
        <w:iCs w:val="0"/>
        <w:color w:val="000000" w:themeColor="text1"/>
        <w:sz w:val="24"/>
        <w:szCs w:val="24"/>
      </w:rPr>
      <w:t xml:space="preserve">,</w:t>
    </w:r>
    <w:r>
      <w:rPr>
        <w:rFonts w:ascii="Times New Roman" w:hAnsi="Times New Roman" w:cs="Times New Roman"/>
        <w:i w:val="0"/>
        <w:iCs w:val="0"/>
        <w:color w:val="000000" w:themeColor="text1"/>
        <w:sz w:val="24"/>
        <w:szCs w:val="24"/>
      </w:rPr>
      <w:t xml:space="preserve"> CEP: 36.036-425</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p>
    <w:pPr>
      <w:pStyle w:val="1028"/>
      <w:widowControl w:val="false"/>
      <w:pBdr/>
      <w:tabs>
        <w:tab w:val="clear" w:leader="none" w:pos="708"/>
        <w:tab w:val="center" w:leader="none" w:pos="4779"/>
        <w:tab w:val="right" w:leader="none" w:pos="9198"/>
      </w:tabs>
      <w:spacing w:line="276" w:lineRule="auto"/>
      <w:ind w:right="0" w:firstLine="567" w:left="0"/>
      <w:jc w:val="both"/>
      <w:rPr>
        <w:rFonts w:ascii="Times New Roman" w:hAnsi="Times New Roman" w:cs="Times New Roman"/>
        <w:bCs w:val="0"/>
        <w:i w:val="0"/>
        <w:color w:val="000000" w:themeColor="text1"/>
        <w:sz w:val="24"/>
        <w:szCs w:val="24"/>
        <w:highlight w:val="none"/>
      </w:rPr>
    </w:pPr>
    <w:r>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 xml:space="preserve">, neste ato representada por .................................. (nome e função no contratado), conforme atos constitutivos da empresa OU procuração apresentada nos autos;</w:t>
    </w:r>
    <w:r>
      <w:rPr>
        <w:rFonts w:ascii="Times New Roman" w:hAnsi="Times New Roman" w:cs="Times New Roman"/>
        <w:bCs w:val="0"/>
        <w:i w:val="0"/>
        <w:color w:val="000000" w:themeColor="text1"/>
        <w:sz w:val="24"/>
        <w:szCs w:val="24"/>
        <w:highlight w:val="none"/>
      </w:rPr>
    </w:r>
    <w:r>
      <w:rPr>
        <w:rFonts w:ascii="Times New Roman" w:hAnsi="Times New Roman" w:cs="Times New Roman"/>
        <w:bCs w:val="0"/>
        <w:i w:val="0"/>
        <w:color w:val="000000" w:themeColor="text1"/>
        <w:sz w:val="24"/>
        <w:szCs w:val="24"/>
        <w:highlight w:val="none"/>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left="-851"/>
      <w:rPr/>
    </w:pPr>
    <w:r>
      <mc:AlternateContent>
        <mc:Choice Requires="wpg">
          <w:drawing>
            <wp:anchor xmlns:wp="http://schemas.openxmlformats.org/drawingml/2006/wordprocessingDrawing" xmlns:wp14="http://schemas.microsoft.com/office/word/2010/wordprocessingDrawing" distT="0" distB="20955" distL="0" distR="23495" simplePos="0" relativeHeight="80" behindDoc="1" locked="0" layoutInCell="1" allowOverlap="1">
              <wp:simplePos x="0" y="0"/>
              <wp:positionH relativeFrom="column">
                <wp:posOffset>339090</wp:posOffset>
              </wp:positionH>
              <wp:positionV relativeFrom="paragraph">
                <wp:posOffset>-48260</wp:posOffset>
              </wp:positionV>
              <wp:extent cx="5996940" cy="1256030"/>
              <wp:effectExtent l="6985" t="6985" r="6985" b="6985"/>
              <wp:wrapNone/>
              <wp:docPr id="1" name="Retângulo: Cantos Arredondados 1"/>
              <wp:cNvGraphicFramePr/>
              <a:graphic xmlns:a="http://schemas.openxmlformats.org/drawingml/2006/main">
                <a:graphicData uri="http://schemas.microsoft.com/office/word/2010/wordprocessingShape">
                  <wps:wsp>
                    <wps:cNvPr id="0" name=""/>
                    <wps:cNvSpPr/>
                    <wps:spPr bwMode="auto">
                      <a:xfrm>
                        <a:off x="0" y="0"/>
                        <a:ext cx="5996880" cy="1256040"/>
                      </a:xfrm>
                      <a:prstGeom prst="roundRect">
                        <a:avLst>
                          <a:gd name="adj" fmla="val 16667"/>
                        </a:avLst>
                      </a:prstGeom>
                      <a:solidFill>
                        <a:srgbClr val="FFFFFF"/>
                      </a:solidFill>
                      <a:ln w="12600">
                        <a:solidFill>
                          <a:srgbClr val="FFFFFF"/>
                        </a:solidFill>
                        <a:round/>
                      </a:ln>
                    </wps:spPr>
                    <wps:style>
                      <a:lnRef idx="0"/>
                      <a:fillRef idx="0"/>
                      <a:effectRef idx="0"/>
                      <a:fontRef idx="minor"/>
                    </wps:style>
                    <wps:txbx>
                      <w:txbxContent>
                        <w:p>
                          <w:pPr>
                            <w:pStyle w:val="1148"/>
                            <w:pBdr/>
                            <w:spacing/>
                            <w:ind w:right="-174"/>
                            <w:rPr>
                              <w:b/>
                              <w:iCs/>
                              <w:sz w:val="4"/>
                              <w:szCs w:val="4"/>
                            </w:rPr>
                          </w:pPr>
                          <w:r>
                            <w:rPr>
                              <w:b/>
                              <w:iCs/>
                              <w:color w:val="000000"/>
                              <w:sz w:val="32"/>
                              <w:szCs w:val="32"/>
                            </w:rPr>
                            <w:t xml:space="preserve">        </w:t>
                          </w:r>
                          <w:r>
                            <w:rPr>
                              <w:b/>
                              <w:iCs/>
                              <w:sz w:val="4"/>
                              <w:szCs w:val="4"/>
                            </w:rPr>
                          </w:r>
                          <w:r>
                            <w:rPr>
                              <w:b/>
                              <w:iCs/>
                              <w:sz w:val="4"/>
                              <w:szCs w:val="4"/>
                            </w:rPr>
                          </w:r>
                        </w:p>
                        <w:p>
                          <w:pPr>
                            <w:pStyle w:val="1148"/>
                            <w:pBdr/>
                            <w:spacing/>
                            <w:ind w:right="-174"/>
                            <w:jc w:val="center"/>
                            <w:rPr>
                              <w:b/>
                              <w:iCs/>
                              <w:sz w:val="26"/>
                              <w:szCs w:val="26"/>
                            </w:rPr>
                          </w:pPr>
                          <w:r>
                            <w:rPr>
                              <w:b/>
                              <w:iCs/>
                              <w:color w:val="000000"/>
                              <w:sz w:val="26"/>
                              <w:szCs w:val="26"/>
                            </w:rPr>
                            <w:t xml:space="preserve">CONSÓRCIO INTERMUNICIPAL DE SAÚDE DA REDE DE URGÊNCIA</w:t>
                          </w:r>
                          <w:r>
                            <w:rPr>
                              <w:b/>
                              <w:iCs/>
                              <w:sz w:val="26"/>
                              <w:szCs w:val="26"/>
                            </w:rPr>
                          </w:r>
                          <w:r>
                            <w:rPr>
                              <w:b/>
                              <w:iCs/>
                              <w:sz w:val="26"/>
                              <w:szCs w:val="26"/>
                            </w:rPr>
                          </w:r>
                        </w:p>
                        <w:p>
                          <w:pPr>
                            <w:pStyle w:val="1148"/>
                            <w:pBdr/>
                            <w:spacing/>
                            <w:ind w:right="-174"/>
                            <w:jc w:val="center"/>
                            <w:rPr>
                              <w:color w:val="000000"/>
                            </w:rPr>
                          </w:pPr>
                          <w:r>
                            <w:rPr>
                              <w:color w:val="000000"/>
                            </w:rPr>
                            <w:t xml:space="preserve"> </w:t>
                          </w:r>
                          <w:r>
                            <w:rPr>
                              <w:color w:val="000000"/>
                            </w:rPr>
                            <w:t xml:space="preserve">CNPJ 11.938.399/0001-72</w:t>
                          </w:r>
                          <w:r>
                            <w:rPr>
                              <w:color w:val="000000"/>
                            </w:rPr>
                          </w:r>
                          <w:r>
                            <w:rPr>
                              <w:color w:val="000000"/>
                            </w:rPr>
                          </w:r>
                        </w:p>
                        <w:p>
                          <w:pPr>
                            <w:pStyle w:val="1148"/>
                            <w:pBdr/>
                            <w:spacing/>
                            <w:ind w:right="-174"/>
                            <w:jc w:val="center"/>
                            <w:rPr>
                              <w:color w:val="000000"/>
                            </w:rPr>
                          </w:pPr>
                          <w:r>
                            <w:rPr>
                              <w:color w:val="000000"/>
                            </w:rPr>
                            <w:t xml:space="preserve">Rodovia BR-265, Nº 1.501, Bairro Grogotó - Barbacena/MG - CEP 36.202-630</w:t>
                          </w:r>
                          <w:r>
                            <w:rPr>
                              <w:color w:val="000000"/>
                            </w:rPr>
                          </w:r>
                          <w:r>
                            <w:rPr>
                              <w:color w:val="000000"/>
                            </w:rPr>
                          </w:r>
                        </w:p>
                        <w:p>
                          <w:pPr>
                            <w:pStyle w:val="1148"/>
                            <w:pBdr/>
                            <w:spacing/>
                            <w:ind w:right="-174"/>
                            <w:jc w:val="center"/>
                            <w:rPr/>
                          </w:pPr>
                          <w:r/>
                          <w:hyperlink r:id="rId1" w:tooltip="mailto:licitacao@cisru.saude.mg.gov.br" w:history="1">
                            <w:r>
                              <w:rPr>
                                <w:rStyle w:val="1085"/>
                              </w:rPr>
                              <w:t xml:space="preserve">licitacao@cisru.saude.mg.gov.br</w:t>
                            </w:r>
                          </w:hyperlink>
                          <w:r>
                            <w:rPr>
                              <w:color w:val="000000"/>
                              <w:u w:val="single"/>
                            </w:rPr>
                            <w:t xml:space="preserve">  </w:t>
                          </w:r>
                          <w:r/>
                        </w:p>
                        <w:p>
                          <w:pPr>
                            <w:pStyle w:val="1148"/>
                            <w:pBdr/>
                            <w:spacing/>
                            <w:ind w:right="-174"/>
                            <w:jc w:val="center"/>
                            <w:rPr>
                              <w:color w:val="000000"/>
                            </w:rPr>
                          </w:pPr>
                          <w:r>
                            <w:rPr>
                              <w:color w:val="000000"/>
                            </w:rPr>
                            <w:t xml:space="preserve">Fone: PABX (32) 3339-5550 / FAX: (32) 3332-5377</w:t>
                          </w:r>
                          <w:r>
                            <w:rPr>
                              <w:color w:val="000000"/>
                            </w:rPr>
                          </w:r>
                          <w:r>
                            <w:rPr>
                              <w:color w:val="000000"/>
                            </w:rPr>
                          </w:r>
                        </w:p>
                        <w:p>
                          <w:pPr>
                            <w:pStyle w:val="1148"/>
                            <w:pBdr>
                              <w:bottom w:val="single" w:color="cc0000" w:sz="18" w:space="1"/>
                            </w:pBdr>
                            <w:spacing/>
                            <w:ind w:right="-174"/>
                            <w:jc w:val="center"/>
                            <w:rPr>
                              <w:b/>
                              <w:iCs/>
                              <w:sz w:val="16"/>
                              <w:szCs w:val="16"/>
                            </w:rPr>
                          </w:pPr>
                          <w:r>
                            <w:rPr>
                              <w:b/>
                              <w:iCs/>
                              <w:color w:val="000000"/>
                              <w:sz w:val="16"/>
                              <w:szCs w:val="16"/>
                            </w:rPr>
                          </w:r>
                          <w:r>
                            <w:rPr>
                              <w:b/>
                              <w:iCs/>
                              <w:sz w:val="16"/>
                              <w:szCs w:val="16"/>
                            </w:rPr>
                          </w:r>
                          <w:r>
                            <w:rPr>
                              <w:b/>
                              <w:iCs/>
                              <w:sz w:val="16"/>
                              <w:szCs w:val="16"/>
                            </w:rPr>
                          </w:r>
                        </w:p>
                        <w:p>
                          <w:pPr>
                            <w:pStyle w:val="1148"/>
                            <w:pBdr/>
                            <w:spacing/>
                            <w:ind w:right="-174"/>
                            <w:jc w:val="center"/>
                            <w:rPr>
                              <w:color w:val="000000"/>
                            </w:rPr>
                          </w:pPr>
                          <w:r>
                            <w:rPr>
                              <w:color w:val="000000"/>
                            </w:rPr>
                          </w:r>
                          <w:r>
                            <w:rPr>
                              <w:color w:val="000000"/>
                            </w:rPr>
                          </w:r>
                          <w:r>
                            <w:rPr>
                              <w:color w:val="000000"/>
                            </w:rPr>
                          </w:r>
                        </w:p>
                      </w:txbxContent>
                    </wps:txbx>
                    <wps:bodyPr lIns="12600" tIns="12600" rIns="12600" bIns="12600" anchor="t">
                      <a:noAutofit/>
                    </wps:bodyPr>
                  </wps:wsp>
                </a:graphicData>
              </a:graphic>
            </wp:anchor>
          </w:drawing>
        </mc:Choice>
        <mc:Fallback>
          <w:pict>
            <v:shape id="shape 0" o:spid="_x0000_s0" o:spt="2" type="#_x0000_t2" style="position:absolute;z-index:-80;o:allowoverlap:true;o:allowincell:true;mso-position-horizontal-relative:text;margin-left:26.70pt;mso-position-horizontal:absolute;mso-position-vertical-relative:text;margin-top:-3.80pt;mso-position-vertical:absolute;width:472.20pt;height:98.90pt;mso-wrap-distance-left:0.00pt;mso-wrap-distance-top:0.00pt;mso-wrap-distance-right:1.85pt;mso-wrap-distance-bottom:1.65pt;v-text-anchor:top;visibility:visible;" fillcolor="#FFFFFF" strokecolor="#FFFFFF" strokeweight="0.99pt">
              <v:textbox inset="0,0,0,0">
                <w:txbxContent>
                  <w:p>
                    <w:pPr>
                      <w:pStyle w:val="1148"/>
                      <w:pBdr/>
                      <w:spacing/>
                      <w:ind w:right="-174"/>
                      <w:rPr>
                        <w:b/>
                        <w:iCs/>
                        <w:sz w:val="4"/>
                        <w:szCs w:val="4"/>
                      </w:rPr>
                    </w:pPr>
                    <w:r>
                      <w:rPr>
                        <w:b/>
                        <w:iCs/>
                        <w:color w:val="000000"/>
                        <w:sz w:val="32"/>
                        <w:szCs w:val="32"/>
                      </w:rPr>
                      <w:t xml:space="preserve">        </w:t>
                    </w:r>
                    <w:r>
                      <w:rPr>
                        <w:b/>
                        <w:iCs/>
                        <w:sz w:val="4"/>
                        <w:szCs w:val="4"/>
                      </w:rPr>
                    </w:r>
                    <w:r>
                      <w:rPr>
                        <w:b/>
                        <w:iCs/>
                        <w:sz w:val="4"/>
                        <w:szCs w:val="4"/>
                      </w:rPr>
                    </w:r>
                  </w:p>
                  <w:p>
                    <w:pPr>
                      <w:pStyle w:val="1148"/>
                      <w:pBdr/>
                      <w:spacing/>
                      <w:ind w:right="-174"/>
                      <w:jc w:val="center"/>
                      <w:rPr>
                        <w:b/>
                        <w:iCs/>
                        <w:sz w:val="26"/>
                        <w:szCs w:val="26"/>
                      </w:rPr>
                    </w:pPr>
                    <w:r>
                      <w:rPr>
                        <w:b/>
                        <w:iCs/>
                        <w:color w:val="000000"/>
                        <w:sz w:val="26"/>
                        <w:szCs w:val="26"/>
                      </w:rPr>
                      <w:t xml:space="preserve">CONSÓRCIO INTERMUNICIPAL DE SAÚDE DA REDE DE URGÊNCIA</w:t>
                    </w:r>
                    <w:r>
                      <w:rPr>
                        <w:b/>
                        <w:iCs/>
                        <w:sz w:val="26"/>
                        <w:szCs w:val="26"/>
                      </w:rPr>
                    </w:r>
                    <w:r>
                      <w:rPr>
                        <w:b/>
                        <w:iCs/>
                        <w:sz w:val="26"/>
                        <w:szCs w:val="26"/>
                      </w:rPr>
                    </w:r>
                  </w:p>
                  <w:p>
                    <w:pPr>
                      <w:pStyle w:val="1148"/>
                      <w:pBdr/>
                      <w:spacing/>
                      <w:ind w:right="-174"/>
                      <w:jc w:val="center"/>
                      <w:rPr>
                        <w:color w:val="000000"/>
                      </w:rPr>
                    </w:pPr>
                    <w:r>
                      <w:rPr>
                        <w:color w:val="000000"/>
                      </w:rPr>
                      <w:t xml:space="preserve"> </w:t>
                    </w:r>
                    <w:r>
                      <w:rPr>
                        <w:color w:val="000000"/>
                      </w:rPr>
                      <w:t xml:space="preserve">CNPJ 11.938.399/0001-72</w:t>
                    </w:r>
                    <w:r>
                      <w:rPr>
                        <w:color w:val="000000"/>
                      </w:rPr>
                    </w:r>
                    <w:r>
                      <w:rPr>
                        <w:color w:val="000000"/>
                      </w:rPr>
                    </w:r>
                  </w:p>
                  <w:p>
                    <w:pPr>
                      <w:pStyle w:val="1148"/>
                      <w:pBdr/>
                      <w:spacing/>
                      <w:ind w:right="-174"/>
                      <w:jc w:val="center"/>
                      <w:rPr>
                        <w:color w:val="000000"/>
                      </w:rPr>
                    </w:pPr>
                    <w:r>
                      <w:rPr>
                        <w:color w:val="000000"/>
                      </w:rPr>
                      <w:t xml:space="preserve">Rodovia BR-265, Nº 1.501, Bairro Grogotó - Barbacena/MG - CEP 36.202-630</w:t>
                    </w:r>
                    <w:r>
                      <w:rPr>
                        <w:color w:val="000000"/>
                      </w:rPr>
                    </w:r>
                    <w:r>
                      <w:rPr>
                        <w:color w:val="000000"/>
                      </w:rPr>
                    </w:r>
                  </w:p>
                  <w:p>
                    <w:pPr>
                      <w:pStyle w:val="1148"/>
                      <w:pBdr/>
                      <w:spacing/>
                      <w:ind w:right="-174"/>
                      <w:jc w:val="center"/>
                      <w:rPr/>
                    </w:pPr>
                    <w:r/>
                    <w:hyperlink r:id="rId1" w:tooltip="mailto:licitacao@cisru.saude.mg.gov.br" w:history="1">
                      <w:r>
                        <w:rPr>
                          <w:rStyle w:val="1085"/>
                        </w:rPr>
                        <w:t xml:space="preserve">licitacao@cisru.saude.mg.gov.br</w:t>
                      </w:r>
                    </w:hyperlink>
                    <w:r>
                      <w:rPr>
                        <w:color w:val="000000"/>
                        <w:u w:val="single"/>
                      </w:rPr>
                      <w:t xml:space="preserve">  </w:t>
                    </w:r>
                    <w:r/>
                  </w:p>
                  <w:p>
                    <w:pPr>
                      <w:pStyle w:val="1148"/>
                      <w:pBdr/>
                      <w:spacing/>
                      <w:ind w:right="-174"/>
                      <w:jc w:val="center"/>
                      <w:rPr>
                        <w:color w:val="000000"/>
                      </w:rPr>
                    </w:pPr>
                    <w:r>
                      <w:rPr>
                        <w:color w:val="000000"/>
                      </w:rPr>
                      <w:t xml:space="preserve">Fone: PABX (32) 3339-5550 / FAX: (32) 3332-5377</w:t>
                    </w:r>
                    <w:r>
                      <w:rPr>
                        <w:color w:val="000000"/>
                      </w:rPr>
                    </w:r>
                    <w:r>
                      <w:rPr>
                        <w:color w:val="000000"/>
                      </w:rPr>
                    </w:r>
                  </w:p>
                  <w:p>
                    <w:pPr>
                      <w:pStyle w:val="1148"/>
                      <w:pBdr>
                        <w:bottom w:val="single" w:color="cc0000" w:sz="18" w:space="1"/>
                      </w:pBdr>
                      <w:spacing/>
                      <w:ind w:right="-174"/>
                      <w:jc w:val="center"/>
                      <w:rPr>
                        <w:b/>
                        <w:iCs/>
                        <w:sz w:val="16"/>
                        <w:szCs w:val="16"/>
                      </w:rPr>
                    </w:pPr>
                    <w:r>
                      <w:rPr>
                        <w:b/>
                        <w:iCs/>
                        <w:color w:val="000000"/>
                        <w:sz w:val="16"/>
                        <w:szCs w:val="16"/>
                      </w:rPr>
                    </w:r>
                    <w:r>
                      <w:rPr>
                        <w:b/>
                        <w:iCs/>
                        <w:sz w:val="16"/>
                        <w:szCs w:val="16"/>
                      </w:rPr>
                    </w:r>
                    <w:r>
                      <w:rPr>
                        <w:b/>
                        <w:iCs/>
                        <w:sz w:val="16"/>
                        <w:szCs w:val="16"/>
                      </w:rPr>
                    </w:r>
                  </w:p>
                  <w:p>
                    <w:pPr>
                      <w:pStyle w:val="1148"/>
                      <w:pBdr/>
                      <w:spacing/>
                      <w:ind w:right="-174"/>
                      <w:jc w:val="center"/>
                      <w:rPr>
                        <w:color w:val="000000"/>
                      </w:rPr>
                    </w:pPr>
                    <w:r>
                      <w:rPr>
                        <w:color w:val="000000"/>
                      </w:rPr>
                    </w:r>
                    <w:r>
                      <w:rPr>
                        <w:color w:val="000000"/>
                      </w:rPr>
                    </w:r>
                    <w:r>
                      <w:rPr>
                        <w:color w:val="000000"/>
                      </w:rPr>
                    </w:r>
                  </w:p>
                </w:txbxContent>
              </v:textbox>
            </v:shape>
          </w:pict>
        </mc:Fallback>
      </mc:AlternateContent>
    </w:r>
    <w:r>
      <mc:AlternateContent>
        <mc:Choice Requires="wpg">
          <w:drawing>
            <wp:inline xmlns:wp="http://schemas.openxmlformats.org/drawingml/2006/wordprocessingDrawing" distT="0" distB="0" distL="0" distR="0">
              <wp:extent cx="1133475" cy="1066800"/>
              <wp:effectExtent l="0" t="0" r="0" b="0"/>
              <wp:docPr id="2" name="Imagem 875435874" descr="Descrição: G:\CISRU_logo final\Jpeg\CISRU_slog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875435874" descr="Descrição: G:\CISRU_logo final\Jpeg\CISRU_slogan_1.jpg"/>
                      <pic:cNvPicPr>
                        <a:picLocks noChangeAspect="1"/>
                      </pic:cNvPicPr>
                      <pic:nvPr/>
                    </pic:nvPicPr>
                    <pic:blipFill>
                      <a:blip r:embed="rId2"/>
                      <a:stretch/>
                    </pic:blipFill>
                    <pic:spPr bwMode="auto">
                      <a:xfrm>
                        <a:off x="0" y="0"/>
                        <a:ext cx="1133475" cy="1066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9.25pt;height:84.00pt;mso-wrap-distance-left:0.00pt;mso-wrap-distance-top:0.00pt;mso-wrap-distance-right:0.00pt;mso-wrap-distance-bottom:0.00pt;z-index:1;" stroked="false">
              <v:imagedata r:id="rId2" o:title=""/>
              <o:lock v:ext="edit" rotation="t"/>
            </v:shape>
          </w:pict>
        </mc:Fallback>
      </mc:AlternateContent>
    </w:r>
    <w:r>
      <w:tab/>
      <w:tab/>
      <w:tab/>
      <w:tab/>
      <w:tab/>
    </w:r>
    <w:r/>
  </w:p>
  <w:p>
    <w:pPr>
      <w:pStyle w:val="11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31"/>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left="-851"/>
      <w:rPr/>
    </w:pPr>
    <w:r>
      <mc:AlternateContent>
        <mc:Choice Requires="wpg">
          <w:drawing>
            <wp:anchor xmlns:wp="http://schemas.openxmlformats.org/drawingml/2006/wordprocessingDrawing" xmlns:wp14="http://schemas.microsoft.com/office/word/2010/wordprocessingDrawing" distT="0" distB="20955" distL="0" distR="23495" simplePos="0" relativeHeight="80" behindDoc="1" locked="0" layoutInCell="1" allowOverlap="1">
              <wp:simplePos x="0" y="0"/>
              <wp:positionH relativeFrom="column">
                <wp:posOffset>339090</wp:posOffset>
              </wp:positionH>
              <wp:positionV relativeFrom="paragraph">
                <wp:posOffset>-48260</wp:posOffset>
              </wp:positionV>
              <wp:extent cx="5996940" cy="1256030"/>
              <wp:effectExtent l="6985" t="6985" r="6985" b="6985"/>
              <wp:wrapNone/>
              <wp:docPr id="3" name="Retângulo: Cantos Arredondados 1"/>
              <wp:cNvGraphicFramePr/>
              <a:graphic xmlns:a="http://schemas.openxmlformats.org/drawingml/2006/main">
                <a:graphicData uri="http://schemas.microsoft.com/office/word/2010/wordprocessingShape">
                  <wps:wsp>
                    <wps:cNvPr id="0" name=""/>
                    <wps:cNvSpPr/>
                    <wps:spPr bwMode="auto">
                      <a:xfrm>
                        <a:off x="0" y="0"/>
                        <a:ext cx="5996880" cy="1256040"/>
                      </a:xfrm>
                      <a:prstGeom prst="roundRect">
                        <a:avLst>
                          <a:gd name="adj" fmla="val 16667"/>
                        </a:avLst>
                      </a:prstGeom>
                      <a:solidFill>
                        <a:srgbClr val="FFFFFF"/>
                      </a:solidFill>
                      <a:ln w="12600">
                        <a:solidFill>
                          <a:srgbClr val="FFFFFF"/>
                        </a:solidFill>
                        <a:round/>
                      </a:ln>
                    </wps:spPr>
                    <wps:style>
                      <a:lnRef idx="0"/>
                      <a:fillRef idx="0"/>
                      <a:effectRef idx="0"/>
                      <a:fontRef idx="minor"/>
                    </wps:style>
                    <wps:txbx>
                      <w:txbxContent>
                        <w:p>
                          <w:pPr>
                            <w:pStyle w:val="1148"/>
                            <w:pBdr/>
                            <w:spacing/>
                            <w:ind w:right="-174"/>
                            <w:rPr>
                              <w:b/>
                              <w:iCs/>
                              <w:sz w:val="4"/>
                              <w:szCs w:val="4"/>
                            </w:rPr>
                          </w:pPr>
                          <w:r>
                            <w:rPr>
                              <w:b/>
                              <w:iCs/>
                              <w:color w:val="000000"/>
                              <w:sz w:val="32"/>
                              <w:szCs w:val="32"/>
                            </w:rPr>
                            <w:t xml:space="preserve">        </w:t>
                          </w:r>
                          <w:r>
                            <w:rPr>
                              <w:b/>
                              <w:iCs/>
                              <w:sz w:val="4"/>
                              <w:szCs w:val="4"/>
                            </w:rPr>
                          </w:r>
                          <w:r>
                            <w:rPr>
                              <w:b/>
                              <w:iCs/>
                              <w:sz w:val="4"/>
                              <w:szCs w:val="4"/>
                            </w:rPr>
                          </w:r>
                        </w:p>
                        <w:p>
                          <w:pPr>
                            <w:pStyle w:val="1148"/>
                            <w:pBdr/>
                            <w:spacing/>
                            <w:ind w:right="-174"/>
                            <w:jc w:val="center"/>
                            <w:rPr>
                              <w:b/>
                              <w:iCs/>
                              <w:sz w:val="26"/>
                              <w:szCs w:val="26"/>
                            </w:rPr>
                          </w:pPr>
                          <w:r>
                            <w:rPr>
                              <w:b/>
                              <w:iCs/>
                              <w:color w:val="000000"/>
                              <w:sz w:val="26"/>
                              <w:szCs w:val="26"/>
                            </w:rPr>
                            <w:t xml:space="preserve">CONSÓRCIO INTERMUNICIPAL DE SAÚDE DA REDE DE URGÊNCIA</w:t>
                          </w:r>
                          <w:r>
                            <w:rPr>
                              <w:b/>
                              <w:iCs/>
                              <w:sz w:val="26"/>
                              <w:szCs w:val="26"/>
                            </w:rPr>
                          </w:r>
                          <w:r>
                            <w:rPr>
                              <w:b/>
                              <w:iCs/>
                              <w:sz w:val="26"/>
                              <w:szCs w:val="26"/>
                            </w:rPr>
                          </w:r>
                        </w:p>
                        <w:p>
                          <w:pPr>
                            <w:pStyle w:val="1148"/>
                            <w:pBdr/>
                            <w:spacing/>
                            <w:ind w:right="-174"/>
                            <w:jc w:val="center"/>
                            <w:rPr>
                              <w:color w:val="000000"/>
                            </w:rPr>
                          </w:pPr>
                          <w:r>
                            <w:rPr>
                              <w:color w:val="000000"/>
                            </w:rPr>
                            <w:t xml:space="preserve"> </w:t>
                          </w:r>
                          <w:r>
                            <w:rPr>
                              <w:color w:val="000000"/>
                            </w:rPr>
                            <w:t xml:space="preserve">CNPJ 11.938.399/0001-72</w:t>
                          </w:r>
                          <w:r>
                            <w:rPr>
                              <w:color w:val="000000"/>
                            </w:rPr>
                          </w:r>
                          <w:r>
                            <w:rPr>
                              <w:color w:val="000000"/>
                            </w:rPr>
                          </w:r>
                        </w:p>
                        <w:p>
                          <w:pPr>
                            <w:pStyle w:val="1148"/>
                            <w:pBdr/>
                            <w:spacing/>
                            <w:ind w:right="-174"/>
                            <w:jc w:val="center"/>
                            <w:rPr>
                              <w:color w:val="000000"/>
                            </w:rPr>
                          </w:pPr>
                          <w:r>
                            <w:rPr>
                              <w:color w:val="000000"/>
                            </w:rPr>
                            <w:t xml:space="preserve">Rodovia BR-265, Nº 1.501, Bairro Grogotó - Barbacena/MG - CEP 36.202-630</w:t>
                          </w:r>
                          <w:r>
                            <w:rPr>
                              <w:color w:val="000000"/>
                            </w:rPr>
                          </w:r>
                          <w:r>
                            <w:rPr>
                              <w:color w:val="000000"/>
                            </w:rPr>
                          </w:r>
                        </w:p>
                        <w:p>
                          <w:pPr>
                            <w:pStyle w:val="1148"/>
                            <w:pBdr/>
                            <w:spacing/>
                            <w:ind w:right="-174"/>
                            <w:jc w:val="center"/>
                            <w:rPr/>
                          </w:pPr>
                          <w:r/>
                          <w:hyperlink r:id="rId1" w:tooltip="mailto:licitacao@cisru.saude.mg.gov.br" w:history="1">
                            <w:r>
                              <w:rPr>
                                <w:rStyle w:val="1085"/>
                              </w:rPr>
                              <w:t xml:space="preserve">licitacao@cisru.saude.mg.gov.br</w:t>
                            </w:r>
                          </w:hyperlink>
                          <w:r>
                            <w:rPr>
                              <w:color w:val="000000"/>
                              <w:u w:val="single"/>
                            </w:rPr>
                            <w:t xml:space="preserve">  </w:t>
                          </w:r>
                          <w:r/>
                        </w:p>
                        <w:p>
                          <w:pPr>
                            <w:pStyle w:val="1148"/>
                            <w:pBdr/>
                            <w:spacing/>
                            <w:ind w:right="-174"/>
                            <w:jc w:val="center"/>
                            <w:rPr>
                              <w:color w:val="000000"/>
                            </w:rPr>
                          </w:pPr>
                          <w:r>
                            <w:rPr>
                              <w:color w:val="000000"/>
                            </w:rPr>
                            <w:t xml:space="preserve">Fone: PABX (32) 3339-5550 / FAX: (32) 3332-5377</w:t>
                          </w:r>
                          <w:r>
                            <w:rPr>
                              <w:color w:val="000000"/>
                            </w:rPr>
                          </w:r>
                          <w:r>
                            <w:rPr>
                              <w:color w:val="000000"/>
                            </w:rPr>
                          </w:r>
                        </w:p>
                        <w:p>
                          <w:pPr>
                            <w:pStyle w:val="1148"/>
                            <w:pBdr>
                              <w:bottom w:val="single" w:color="cc0000" w:sz="18" w:space="1"/>
                            </w:pBdr>
                            <w:spacing/>
                            <w:ind w:right="-174"/>
                            <w:jc w:val="center"/>
                            <w:rPr>
                              <w:b/>
                              <w:iCs/>
                              <w:sz w:val="16"/>
                              <w:szCs w:val="16"/>
                            </w:rPr>
                          </w:pPr>
                          <w:r>
                            <w:rPr>
                              <w:b/>
                              <w:iCs/>
                              <w:color w:val="000000"/>
                              <w:sz w:val="16"/>
                              <w:szCs w:val="16"/>
                            </w:rPr>
                          </w:r>
                          <w:r>
                            <w:rPr>
                              <w:b/>
                              <w:iCs/>
                              <w:sz w:val="16"/>
                              <w:szCs w:val="16"/>
                            </w:rPr>
                          </w:r>
                          <w:r>
                            <w:rPr>
                              <w:b/>
                              <w:iCs/>
                              <w:sz w:val="16"/>
                              <w:szCs w:val="16"/>
                            </w:rPr>
                          </w:r>
                        </w:p>
                        <w:p>
                          <w:pPr>
                            <w:pStyle w:val="1148"/>
                            <w:pBdr/>
                            <w:spacing/>
                            <w:ind w:right="-174"/>
                            <w:jc w:val="center"/>
                            <w:rPr>
                              <w:color w:val="000000"/>
                            </w:rPr>
                          </w:pPr>
                          <w:r>
                            <w:rPr>
                              <w:color w:val="000000"/>
                            </w:rPr>
                          </w:r>
                          <w:r>
                            <w:rPr>
                              <w:color w:val="000000"/>
                            </w:rPr>
                          </w:r>
                          <w:r>
                            <w:rPr>
                              <w:color w:val="000000"/>
                            </w:rPr>
                          </w:r>
                        </w:p>
                      </w:txbxContent>
                    </wps:txbx>
                    <wps:bodyPr lIns="12600" tIns="12600" rIns="12600" bIns="12600" anchor="t">
                      <a:noAutofit/>
                    </wps:bodyPr>
                  </wps:wsp>
                </a:graphicData>
              </a:graphic>
            </wp:anchor>
          </w:drawing>
        </mc:Choice>
        <mc:Fallback>
          <w:pict>
            <v:shape id="shape 2" o:spid="_x0000_s2" o:spt="2" type="#_x0000_t2" style="position:absolute;z-index:-80;o:allowoverlap:true;o:allowincell:true;mso-position-horizontal-relative:text;margin-left:26.70pt;mso-position-horizontal:absolute;mso-position-vertical-relative:text;margin-top:-3.80pt;mso-position-vertical:absolute;width:472.20pt;height:98.90pt;mso-wrap-distance-left:0.00pt;mso-wrap-distance-top:0.00pt;mso-wrap-distance-right:1.85pt;mso-wrap-distance-bottom:1.65pt;v-text-anchor:top;visibility:visible;" fillcolor="#FFFFFF" strokecolor="#FFFFFF" strokeweight="0.99pt">
              <v:textbox inset="0,0,0,0">
                <w:txbxContent>
                  <w:p>
                    <w:pPr>
                      <w:pStyle w:val="1148"/>
                      <w:pBdr/>
                      <w:spacing/>
                      <w:ind w:right="-174"/>
                      <w:rPr>
                        <w:b/>
                        <w:iCs/>
                        <w:sz w:val="4"/>
                        <w:szCs w:val="4"/>
                      </w:rPr>
                    </w:pPr>
                    <w:r>
                      <w:rPr>
                        <w:b/>
                        <w:iCs/>
                        <w:color w:val="000000"/>
                        <w:sz w:val="32"/>
                        <w:szCs w:val="32"/>
                      </w:rPr>
                      <w:t xml:space="preserve">        </w:t>
                    </w:r>
                    <w:r>
                      <w:rPr>
                        <w:b/>
                        <w:iCs/>
                        <w:sz w:val="4"/>
                        <w:szCs w:val="4"/>
                      </w:rPr>
                    </w:r>
                    <w:r>
                      <w:rPr>
                        <w:b/>
                        <w:iCs/>
                        <w:sz w:val="4"/>
                        <w:szCs w:val="4"/>
                      </w:rPr>
                    </w:r>
                  </w:p>
                  <w:p>
                    <w:pPr>
                      <w:pStyle w:val="1148"/>
                      <w:pBdr/>
                      <w:spacing/>
                      <w:ind w:right="-174"/>
                      <w:jc w:val="center"/>
                      <w:rPr>
                        <w:b/>
                        <w:iCs/>
                        <w:sz w:val="26"/>
                        <w:szCs w:val="26"/>
                      </w:rPr>
                    </w:pPr>
                    <w:r>
                      <w:rPr>
                        <w:b/>
                        <w:iCs/>
                        <w:color w:val="000000"/>
                        <w:sz w:val="26"/>
                        <w:szCs w:val="26"/>
                      </w:rPr>
                      <w:t xml:space="preserve">CONSÓRCIO INTERMUNICIPAL DE SAÚDE DA REDE DE URGÊNCIA</w:t>
                    </w:r>
                    <w:r>
                      <w:rPr>
                        <w:b/>
                        <w:iCs/>
                        <w:sz w:val="26"/>
                        <w:szCs w:val="26"/>
                      </w:rPr>
                    </w:r>
                    <w:r>
                      <w:rPr>
                        <w:b/>
                        <w:iCs/>
                        <w:sz w:val="26"/>
                        <w:szCs w:val="26"/>
                      </w:rPr>
                    </w:r>
                  </w:p>
                  <w:p>
                    <w:pPr>
                      <w:pStyle w:val="1148"/>
                      <w:pBdr/>
                      <w:spacing/>
                      <w:ind w:right="-174"/>
                      <w:jc w:val="center"/>
                      <w:rPr>
                        <w:color w:val="000000"/>
                      </w:rPr>
                    </w:pPr>
                    <w:r>
                      <w:rPr>
                        <w:color w:val="000000"/>
                      </w:rPr>
                      <w:t xml:space="preserve"> </w:t>
                    </w:r>
                    <w:r>
                      <w:rPr>
                        <w:color w:val="000000"/>
                      </w:rPr>
                      <w:t xml:space="preserve">CNPJ 11.938.399/0001-72</w:t>
                    </w:r>
                    <w:r>
                      <w:rPr>
                        <w:color w:val="000000"/>
                      </w:rPr>
                    </w:r>
                    <w:r>
                      <w:rPr>
                        <w:color w:val="000000"/>
                      </w:rPr>
                    </w:r>
                  </w:p>
                  <w:p>
                    <w:pPr>
                      <w:pStyle w:val="1148"/>
                      <w:pBdr/>
                      <w:spacing/>
                      <w:ind w:right="-174"/>
                      <w:jc w:val="center"/>
                      <w:rPr>
                        <w:color w:val="000000"/>
                      </w:rPr>
                    </w:pPr>
                    <w:r>
                      <w:rPr>
                        <w:color w:val="000000"/>
                      </w:rPr>
                      <w:t xml:space="preserve">Rodovia BR-265, Nº 1.501, Bairro Grogotó - Barbacena/MG - CEP 36.202-630</w:t>
                    </w:r>
                    <w:r>
                      <w:rPr>
                        <w:color w:val="000000"/>
                      </w:rPr>
                    </w:r>
                    <w:r>
                      <w:rPr>
                        <w:color w:val="000000"/>
                      </w:rPr>
                    </w:r>
                  </w:p>
                  <w:p>
                    <w:pPr>
                      <w:pStyle w:val="1148"/>
                      <w:pBdr/>
                      <w:spacing/>
                      <w:ind w:right="-174"/>
                      <w:jc w:val="center"/>
                      <w:rPr/>
                    </w:pPr>
                    <w:r/>
                    <w:hyperlink r:id="rId1" w:tooltip="mailto:licitacao@cisru.saude.mg.gov.br" w:history="1">
                      <w:r>
                        <w:rPr>
                          <w:rStyle w:val="1085"/>
                        </w:rPr>
                        <w:t xml:space="preserve">licitacao@cisru.saude.mg.gov.br</w:t>
                      </w:r>
                    </w:hyperlink>
                    <w:r>
                      <w:rPr>
                        <w:color w:val="000000"/>
                        <w:u w:val="single"/>
                      </w:rPr>
                      <w:t xml:space="preserve">  </w:t>
                    </w:r>
                    <w:r/>
                  </w:p>
                  <w:p>
                    <w:pPr>
                      <w:pStyle w:val="1148"/>
                      <w:pBdr/>
                      <w:spacing/>
                      <w:ind w:right="-174"/>
                      <w:jc w:val="center"/>
                      <w:rPr>
                        <w:color w:val="000000"/>
                      </w:rPr>
                    </w:pPr>
                    <w:r>
                      <w:rPr>
                        <w:color w:val="000000"/>
                      </w:rPr>
                      <w:t xml:space="preserve">Fone: PABX (32) 3339-5550 / FAX: (32) 3332-5377</w:t>
                    </w:r>
                    <w:r>
                      <w:rPr>
                        <w:color w:val="000000"/>
                      </w:rPr>
                    </w:r>
                    <w:r>
                      <w:rPr>
                        <w:color w:val="000000"/>
                      </w:rPr>
                    </w:r>
                  </w:p>
                  <w:p>
                    <w:pPr>
                      <w:pStyle w:val="1148"/>
                      <w:pBdr>
                        <w:bottom w:val="single" w:color="cc0000" w:sz="18" w:space="1"/>
                      </w:pBdr>
                      <w:spacing/>
                      <w:ind w:right="-174"/>
                      <w:jc w:val="center"/>
                      <w:rPr>
                        <w:b/>
                        <w:iCs/>
                        <w:sz w:val="16"/>
                        <w:szCs w:val="16"/>
                      </w:rPr>
                    </w:pPr>
                    <w:r>
                      <w:rPr>
                        <w:b/>
                        <w:iCs/>
                        <w:color w:val="000000"/>
                        <w:sz w:val="16"/>
                        <w:szCs w:val="16"/>
                      </w:rPr>
                    </w:r>
                    <w:r>
                      <w:rPr>
                        <w:b/>
                        <w:iCs/>
                        <w:sz w:val="16"/>
                        <w:szCs w:val="16"/>
                      </w:rPr>
                    </w:r>
                    <w:r>
                      <w:rPr>
                        <w:b/>
                        <w:iCs/>
                        <w:sz w:val="16"/>
                        <w:szCs w:val="16"/>
                      </w:rPr>
                    </w:r>
                  </w:p>
                  <w:p>
                    <w:pPr>
                      <w:pStyle w:val="1148"/>
                      <w:pBdr/>
                      <w:spacing/>
                      <w:ind w:right="-174"/>
                      <w:jc w:val="center"/>
                      <w:rPr>
                        <w:color w:val="000000"/>
                      </w:rPr>
                    </w:pPr>
                    <w:r>
                      <w:rPr>
                        <w:color w:val="000000"/>
                      </w:rPr>
                    </w:r>
                    <w:r>
                      <w:rPr>
                        <w:color w:val="000000"/>
                      </w:rPr>
                    </w:r>
                    <w:r>
                      <w:rPr>
                        <w:color w:val="000000"/>
                      </w:rPr>
                    </w:r>
                  </w:p>
                </w:txbxContent>
              </v:textbox>
            </v:shape>
          </w:pict>
        </mc:Fallback>
      </mc:AlternateContent>
    </w:r>
    <w:r>
      <mc:AlternateContent>
        <mc:Choice Requires="wpg">
          <w:drawing>
            <wp:inline xmlns:wp="http://schemas.openxmlformats.org/drawingml/2006/wordprocessingDrawing" distT="0" distB="0" distL="0" distR="0">
              <wp:extent cx="1133475" cy="1066800"/>
              <wp:effectExtent l="0" t="0" r="0" b="0"/>
              <wp:docPr id="4" name="Imagem 875435874" descr="Descrição: G:\CISRU_logo final\Jpeg\CISRU_slog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875435874" descr="Descrição: G:\CISRU_logo final\Jpeg\CISRU_slogan_1.jpg"/>
                      <pic:cNvPicPr>
                        <a:picLocks noChangeAspect="1"/>
                      </pic:cNvPicPr>
                      <pic:nvPr/>
                    </pic:nvPicPr>
                    <pic:blipFill>
                      <a:blip r:embed="rId2"/>
                      <a:stretch/>
                    </pic:blipFill>
                    <pic:spPr bwMode="auto">
                      <a:xfrm>
                        <a:off x="0" y="0"/>
                        <a:ext cx="1133475" cy="1066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9.25pt;height:84.00pt;mso-wrap-distance-left:0.00pt;mso-wrap-distance-top:0.00pt;mso-wrap-distance-right:0.00pt;mso-wrap-distance-bottom:0.00pt;z-index:1;" stroked="false">
              <v:imagedata r:id="rId2" o:title=""/>
              <o:lock v:ext="edit" rotation="t"/>
            </v:shape>
          </w:pict>
        </mc:Fallback>
      </mc:AlternateContent>
    </w:r>
    <w:r>
      <w:tab/>
      <w:tab/>
      <w:tab/>
      <w:tab/>
      <w:tab/>
    </w:r>
    <w:r/>
  </w:p>
  <w:p>
    <w:pPr>
      <w:pStyle w:val="113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true"/>
      <w:lvlJc w:val="left"/>
      <w:lvlText w:val="%1."/>
      <w:numFmt w:val="decimal"/>
      <w:pPr>
        <w:pBdr/>
        <w:tabs>
          <w:tab w:val="num" w:leader="none" w:pos="0"/>
        </w:tabs>
        <w:spacing/>
        <w:ind w:hanging="360" w:left="360"/>
      </w:pPr>
      <w:pStyle w:val="1136"/>
      <w:rPr>
        <w:rFonts w:ascii="Times New Roman" w:hAnsi="Times New Roman" w:eastAsia="Times New Roman" w:cs="Times New Roman"/>
        <w:b/>
        <w:color w:val="auto" w:themeColor="accent6" w:themeShade="BF"/>
        <w:sz w:val="24"/>
      </w:rPr>
      <w:start w:val="1"/>
      <w:suff w:val="tab"/>
    </w:lvl>
    <w:lvl w:ilvl="1">
      <w:isLgl w:val="true"/>
      <w:lvlJc w:val="left"/>
      <w:lvlText w:val="%1.%2."/>
      <w:numFmt w:val="decimal"/>
      <w:pPr>
        <w:pBdr/>
        <w:tabs>
          <w:tab w:val="num" w:leader="none" w:pos="0"/>
        </w:tabs>
        <w:spacing/>
        <w:ind w:hanging="432" w:left="858"/>
      </w:pPr>
      <w:pStyle w:val="1141"/>
      <w:rPr>
        <w:rFonts w:ascii="Times New Roman" w:hAnsi="Times New Roman" w:eastAsia="Times New Roman" w:cs="Times New Roman"/>
        <w:color w:val="000000" w:themeColor="text1"/>
        <w:sz w:val="24"/>
        <w:szCs w:val="20"/>
      </w:rPr>
      <w:start w:val="1"/>
      <w:suff w:val="tab"/>
    </w:lvl>
    <w:lvl w:ilvl="2">
      <w:isLgl w:val="true"/>
      <w:lvlJc w:val="left"/>
      <w:lvlText w:val="%1.%2.%3."/>
      <w:numFmt w:val="decimal"/>
      <w:pPr>
        <w:pBdr/>
        <w:tabs>
          <w:tab w:val="num" w:leader="none" w:pos="0"/>
        </w:tabs>
        <w:spacing/>
        <w:ind w:hanging="504" w:left="1497"/>
      </w:pPr>
      <w:pStyle w:val="1144"/>
      <w:rPr>
        <w:rFonts w:ascii="Times New Roman" w:hAnsi="Times New Roman" w:eastAsia="Times New Roman" w:cs="Times New Roman"/>
        <w:sz w:val="23"/>
      </w:rPr>
      <w:start w:val="1"/>
      <w:suff w:val="tab"/>
    </w:lvl>
    <w:lvl w:ilvl="3">
      <w:isLgl w:val="true"/>
      <w:lvlJc w:val="left"/>
      <w:lvlText w:val="%1.%2.%3.%4."/>
      <w:numFmt w:val="decimal"/>
      <w:pPr>
        <w:pBdr/>
        <w:tabs>
          <w:tab w:val="num" w:leader="none" w:pos="0"/>
        </w:tabs>
        <w:spacing/>
        <w:ind w:hanging="648" w:left="1728"/>
      </w:pPr>
      <w:rPr>
        <w:rFonts w:ascii="Times New Roman" w:hAnsi="Times New Roman" w:eastAsia="Times New Roman" w:cs="Times New Roman"/>
        <w:sz w:val="24"/>
      </w:rPr>
      <w:start w:val="1"/>
      <w:suff w:val="tab"/>
    </w:lvl>
    <w:lvl w:ilvl="4">
      <w:isLgl w:val="true"/>
      <w:lvlJc w:val="left"/>
      <w:lvlText w:val="%1.%2.%3.%4.%5."/>
      <w:numFmt w:val="decimal"/>
      <w:pPr>
        <w:pBdr/>
        <w:tabs>
          <w:tab w:val="num" w:leader="none" w:pos="0"/>
        </w:tabs>
        <w:spacing/>
        <w:ind w:hanging="792" w:left="2232"/>
      </w:pPr>
      <w:rPr/>
      <w:start w:val="1"/>
      <w:suff w:val="tab"/>
    </w:lvl>
    <w:lvl w:ilvl="5">
      <w:isLgl w:val="true"/>
      <w:lvlJc w:val="left"/>
      <w:lvlText w:val="%1.%2.%3.%4.%5.%6."/>
      <w:numFmt w:val="decimal"/>
      <w:pPr>
        <w:pBdr/>
        <w:tabs>
          <w:tab w:val="num" w:leader="none" w:pos="0"/>
        </w:tabs>
        <w:spacing/>
        <w:ind w:hanging="936" w:left="2736"/>
      </w:pPr>
      <w:rPr/>
      <w:start w:val="1"/>
      <w:suff w:val="tab"/>
    </w:lvl>
    <w:lvl w:ilvl="6">
      <w:isLgl w:val="true"/>
      <w:lvlJc w:val="left"/>
      <w:lvlText w:val="%1.%2.%3.%4.%5.%6.%7."/>
      <w:numFmt w:val="decimal"/>
      <w:pPr>
        <w:pBdr/>
        <w:tabs>
          <w:tab w:val="num" w:leader="none" w:pos="0"/>
        </w:tabs>
        <w:spacing/>
        <w:ind w:hanging="1080" w:left="3240"/>
      </w:pPr>
      <w:rPr/>
      <w:start w:val="1"/>
      <w:suff w:val="tab"/>
    </w:lvl>
    <w:lvl w:ilvl="7">
      <w:isLgl w:val="true"/>
      <w:lvlJc w:val="left"/>
      <w:lvlText w:val="%1.%2.%3.%4.%5.%6.%7.%8."/>
      <w:numFmt w:val="decimal"/>
      <w:pPr>
        <w:pBdr/>
        <w:tabs>
          <w:tab w:val="num" w:leader="none" w:pos="0"/>
        </w:tabs>
        <w:spacing/>
        <w:ind w:hanging="1224" w:left="3744"/>
      </w:pPr>
      <w:rPr/>
      <w:start w:val="1"/>
      <w:suff w:val="tab"/>
    </w:lvl>
    <w:lvl w:ilvl="8">
      <w:isLgl w:val="true"/>
      <w:lvlJc w:val="left"/>
      <w:lvlText w:val="%1.%2.%3.%4.%5.%6.%7.%8.%9."/>
      <w:numFmt w:val="decimal"/>
      <w:pPr>
        <w:pBdr/>
        <w:tabs>
          <w:tab w:val="num" w:leader="none" w:pos="0"/>
        </w:tabs>
        <w:spacing/>
        <w:ind w:hanging="1440" w:left="4320"/>
      </w:pPr>
      <w:rPr/>
      <w:start w:val="1"/>
      <w:suff w:val="tab"/>
    </w:lvl>
  </w:abstractNum>
  <w:abstractNum w:abstractNumId="1">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val="true"/>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Noto Serif CJK SC" w:cs="Noto Sans Devanagari"/>
        <w:lang w:val="pt-BR" w:eastAsia="pt-B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28" w:default="1">
    <w:name w:val="Normal"/>
    <w:qFormat/>
    <w:pPr>
      <w:widowControl w:val="true"/>
      <w:pBdr/>
      <w:bidi w:val="false"/>
      <w:spacing w:after="0" w:before="0"/>
      <w:ind/>
      <w:jc w:val="left"/>
    </w:pPr>
    <w:rPr>
      <w:rFonts w:ascii="Ecofont_Spranq_eco_Sans" w:hAnsi="Ecofont_Spranq_eco_Sans" w:eastAsia="Noto Serif CJK SC" w:cs="Tahoma"/>
      <w:color w:val="auto"/>
      <w:sz w:val="24"/>
      <w:szCs w:val="24"/>
      <w:lang w:val="pt-BR" w:eastAsia="pt-BR" w:bidi="ar-SA"/>
    </w:rPr>
  </w:style>
  <w:style w:type="paragraph" w:styleId="1029">
    <w:name w:val="Heading 1"/>
    <w:basedOn w:val="1028"/>
    <w:next w:val="1028"/>
    <w:link w:val="1090"/>
    <w:qFormat/>
    <w:pPr>
      <w:keepNext w:val="true"/>
      <w:keepLines w:val="true"/>
      <w:pBdr/>
      <w:spacing w:after="0" w:before="480"/>
      <w:ind/>
      <w:outlineLvl w:val="0"/>
    </w:pPr>
    <w:rPr>
      <w:rFonts w:ascii="Cambria" w:hAnsi="Cambria" w:eastAsia="Arial" w:cs="Arial" w:asciiTheme="majorHAnsi" w:hAnsiTheme="majorHAnsi" w:eastAsiaTheme="majorEastAsia" w:cstheme="majorBidi"/>
      <w:b/>
      <w:bCs/>
      <w:color w:val="365f91" w:themeColor="accent1" w:themeShade="BF"/>
      <w:sz w:val="28"/>
      <w:szCs w:val="28"/>
    </w:rPr>
  </w:style>
  <w:style w:type="paragraph" w:styleId="1030">
    <w:name w:val="Heading 2"/>
    <w:basedOn w:val="1028"/>
    <w:next w:val="1028"/>
    <w:link w:val="1062"/>
    <w:uiPriority w:val="9"/>
    <w:unhideWhenUsed/>
    <w:qFormat/>
    <w:pPr>
      <w:keepNext w:val="true"/>
      <w:keepLines w:val="true"/>
      <w:pBdr/>
      <w:spacing w:after="200" w:before="360"/>
      <w:ind/>
      <w:outlineLvl w:val="1"/>
    </w:pPr>
    <w:rPr>
      <w:rFonts w:ascii="Arial" w:hAnsi="Arial" w:eastAsia="Arial" w:cs="Arial"/>
      <w:sz w:val="34"/>
    </w:rPr>
  </w:style>
  <w:style w:type="paragraph" w:styleId="1031">
    <w:name w:val="Heading 3"/>
    <w:basedOn w:val="1028"/>
    <w:next w:val="1028"/>
    <w:link w:val="1063"/>
    <w:uiPriority w:val="9"/>
    <w:unhideWhenUsed/>
    <w:qFormat/>
    <w:pPr>
      <w:keepNext w:val="true"/>
      <w:keepLines w:val="true"/>
      <w:pBdr/>
      <w:spacing w:after="200" w:before="320"/>
      <w:ind/>
      <w:outlineLvl w:val="2"/>
    </w:pPr>
    <w:rPr>
      <w:rFonts w:ascii="Arial" w:hAnsi="Arial" w:eastAsia="Arial" w:cs="Arial"/>
      <w:sz w:val="30"/>
      <w:szCs w:val="30"/>
    </w:rPr>
  </w:style>
  <w:style w:type="paragraph" w:styleId="1032">
    <w:name w:val="Heading 4"/>
    <w:basedOn w:val="1028"/>
    <w:next w:val="1028"/>
    <w:link w:val="1064"/>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1033">
    <w:name w:val="Heading 5"/>
    <w:basedOn w:val="1028"/>
    <w:next w:val="1028"/>
    <w:link w:val="1065"/>
    <w:uiPriority w:val="9"/>
    <w:unhideWhenUsed/>
    <w:qFormat/>
    <w:pPr>
      <w:keepNext w:val="true"/>
      <w:keepLines w:val="true"/>
      <w:pBdr/>
      <w:spacing w:after="200" w:before="320"/>
      <w:ind/>
      <w:outlineLvl w:val="4"/>
    </w:pPr>
    <w:rPr>
      <w:rFonts w:ascii="Arial" w:hAnsi="Arial" w:eastAsia="Arial" w:cs="Arial"/>
      <w:b/>
      <w:bCs/>
    </w:rPr>
  </w:style>
  <w:style w:type="paragraph" w:styleId="1034">
    <w:name w:val="Heading 6"/>
    <w:basedOn w:val="1028"/>
    <w:next w:val="1028"/>
    <w:link w:val="1066"/>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1035">
    <w:name w:val="Heading 7"/>
    <w:basedOn w:val="1028"/>
    <w:next w:val="1028"/>
    <w:link w:val="1067"/>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1036">
    <w:name w:val="Heading 8"/>
    <w:basedOn w:val="1028"/>
    <w:next w:val="1028"/>
    <w:link w:val="1068"/>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1037">
    <w:name w:val="Heading 9"/>
    <w:basedOn w:val="1028"/>
    <w:next w:val="1028"/>
    <w:link w:val="106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1038">
    <w:name w:val="Intense Emphasis"/>
    <w:basedOn w:val="1047"/>
    <w:uiPriority w:val="21"/>
    <w:qFormat/>
    <w:pPr>
      <w:pBdr/>
      <w:spacing/>
      <w:ind/>
    </w:pPr>
    <w:rPr>
      <w:i/>
      <w:iCs/>
      <w:color w:val="0f4761" w:themeColor="accent1" w:themeShade="BF"/>
    </w:rPr>
  </w:style>
  <w:style w:type="character" w:styleId="1039">
    <w:name w:val="Intense Reference"/>
    <w:basedOn w:val="1047"/>
    <w:uiPriority w:val="32"/>
    <w:qFormat/>
    <w:pPr>
      <w:pBdr/>
      <w:spacing/>
      <w:ind/>
    </w:pPr>
    <w:rPr>
      <w:b/>
      <w:bCs/>
      <w:smallCaps/>
      <w:color w:val="0f4761" w:themeColor="accent1" w:themeShade="BF"/>
      <w:spacing w:val="5"/>
    </w:rPr>
  </w:style>
  <w:style w:type="character" w:styleId="1040">
    <w:name w:val="Subtle Emphasis"/>
    <w:basedOn w:val="1047"/>
    <w:uiPriority w:val="19"/>
    <w:qFormat/>
    <w:pPr>
      <w:pBdr/>
      <w:spacing/>
      <w:ind/>
    </w:pPr>
    <w:rPr>
      <w:i/>
      <w:iCs/>
      <w:color w:val="404040" w:themeColor="text1" w:themeTint="BF"/>
    </w:rPr>
  </w:style>
  <w:style w:type="character" w:styleId="1041">
    <w:name w:val="Emphasis"/>
    <w:basedOn w:val="1047"/>
    <w:uiPriority w:val="20"/>
    <w:qFormat/>
    <w:pPr>
      <w:pBdr/>
      <w:spacing/>
      <w:ind/>
    </w:pPr>
    <w:rPr>
      <w:i/>
      <w:iCs/>
    </w:rPr>
  </w:style>
  <w:style w:type="character" w:styleId="1042">
    <w:name w:val="Strong"/>
    <w:basedOn w:val="1047"/>
    <w:uiPriority w:val="22"/>
    <w:qFormat/>
    <w:pPr>
      <w:pBdr/>
      <w:spacing/>
      <w:ind/>
    </w:pPr>
    <w:rPr>
      <w:b/>
      <w:bCs/>
    </w:rPr>
  </w:style>
  <w:style w:type="character" w:styleId="1043">
    <w:name w:val="Subtle Reference"/>
    <w:basedOn w:val="1047"/>
    <w:uiPriority w:val="31"/>
    <w:qFormat/>
    <w:pPr>
      <w:pBdr/>
      <w:spacing/>
      <w:ind/>
    </w:pPr>
    <w:rPr>
      <w:smallCaps/>
      <w:color w:val="5a5a5a" w:themeColor="text1" w:themeTint="A5"/>
    </w:rPr>
  </w:style>
  <w:style w:type="character" w:styleId="1044">
    <w:name w:val="Book Title"/>
    <w:basedOn w:val="1047"/>
    <w:uiPriority w:val="33"/>
    <w:qFormat/>
    <w:pPr>
      <w:pBdr/>
      <w:spacing/>
      <w:ind/>
    </w:pPr>
    <w:rPr>
      <w:b/>
      <w:bCs/>
      <w:i/>
      <w:iCs/>
      <w:spacing w:val="5"/>
    </w:rPr>
  </w:style>
  <w:style w:type="character" w:styleId="1045">
    <w:name w:val="FollowedHyperlink"/>
    <w:basedOn w:val="1047"/>
    <w:uiPriority w:val="99"/>
    <w:semiHidden/>
    <w:unhideWhenUsed/>
    <w:pPr>
      <w:pBdr/>
      <w:spacing/>
      <w:ind/>
    </w:pPr>
    <w:rPr>
      <w:color w:val="954f72" w:themeColor="followedHyperlink"/>
      <w:u w:val="single"/>
    </w:rPr>
  </w:style>
  <w:style w:type="character" w:styleId="1046">
    <w:name w:val="Placeholder Text"/>
    <w:basedOn w:val="1047"/>
    <w:uiPriority w:val="99"/>
    <w:semiHidden/>
    <w:qFormat/>
    <w:pPr>
      <w:pBdr/>
      <w:spacing/>
      <w:ind/>
    </w:pPr>
    <w:rPr>
      <w:color w:val="666666"/>
    </w:rPr>
  </w:style>
  <w:style w:type="character" w:styleId="1047" w:default="1">
    <w:name w:val="Default Paragraph Font"/>
    <w:uiPriority w:val="1"/>
    <w:semiHidden/>
    <w:unhideWhenUsed/>
    <w:qFormat/>
    <w:pPr>
      <w:pBdr/>
      <w:spacing/>
      <w:ind/>
    </w:pPr>
  </w:style>
  <w:style w:type="character" w:styleId="1048" w:customStyle="1">
    <w:name w:val="Heading 2 Char"/>
    <w:basedOn w:val="1047"/>
    <w:uiPriority w:val="9"/>
    <w:qFormat/>
    <w:pPr>
      <w:pBdr/>
      <w:spacing/>
      <w:ind/>
    </w:pPr>
    <w:rPr>
      <w:rFonts w:ascii="Arial" w:hAnsi="Arial" w:eastAsia="Arial" w:cs="Arial"/>
      <w:sz w:val="34"/>
    </w:rPr>
  </w:style>
  <w:style w:type="character" w:styleId="1049" w:customStyle="1">
    <w:name w:val="Heading 3 Char"/>
    <w:basedOn w:val="1047"/>
    <w:uiPriority w:val="9"/>
    <w:qFormat/>
    <w:pPr>
      <w:pBdr/>
      <w:spacing/>
      <w:ind/>
    </w:pPr>
    <w:rPr>
      <w:rFonts w:ascii="Arial" w:hAnsi="Arial" w:eastAsia="Arial" w:cs="Arial"/>
      <w:sz w:val="30"/>
      <w:szCs w:val="30"/>
    </w:rPr>
  </w:style>
  <w:style w:type="character" w:styleId="1050" w:customStyle="1">
    <w:name w:val="Heading 4 Char"/>
    <w:basedOn w:val="1047"/>
    <w:uiPriority w:val="9"/>
    <w:qFormat/>
    <w:pPr>
      <w:pBdr/>
      <w:spacing/>
      <w:ind/>
    </w:pPr>
    <w:rPr>
      <w:rFonts w:ascii="Arial" w:hAnsi="Arial" w:eastAsia="Arial" w:cs="Arial"/>
      <w:b/>
      <w:bCs/>
      <w:sz w:val="26"/>
      <w:szCs w:val="26"/>
    </w:rPr>
  </w:style>
  <w:style w:type="character" w:styleId="1051" w:customStyle="1">
    <w:name w:val="Heading 5 Char"/>
    <w:basedOn w:val="1047"/>
    <w:uiPriority w:val="9"/>
    <w:qFormat/>
    <w:pPr>
      <w:pBdr/>
      <w:spacing/>
      <w:ind/>
    </w:pPr>
    <w:rPr>
      <w:rFonts w:ascii="Arial" w:hAnsi="Arial" w:eastAsia="Arial" w:cs="Arial"/>
      <w:b/>
      <w:bCs/>
      <w:sz w:val="24"/>
      <w:szCs w:val="24"/>
    </w:rPr>
  </w:style>
  <w:style w:type="character" w:styleId="1052" w:customStyle="1">
    <w:name w:val="Heading 6 Char"/>
    <w:basedOn w:val="1047"/>
    <w:uiPriority w:val="9"/>
    <w:qFormat/>
    <w:pPr>
      <w:pBdr/>
      <w:spacing/>
      <w:ind/>
    </w:pPr>
    <w:rPr>
      <w:rFonts w:ascii="Arial" w:hAnsi="Arial" w:eastAsia="Arial" w:cs="Arial"/>
      <w:b/>
      <w:bCs/>
      <w:sz w:val="22"/>
      <w:szCs w:val="22"/>
    </w:rPr>
  </w:style>
  <w:style w:type="character" w:styleId="1053" w:customStyle="1">
    <w:name w:val="Heading 7 Char"/>
    <w:basedOn w:val="1047"/>
    <w:uiPriority w:val="9"/>
    <w:qFormat/>
    <w:pPr>
      <w:pBdr/>
      <w:spacing/>
      <w:ind/>
    </w:pPr>
    <w:rPr>
      <w:rFonts w:ascii="Arial" w:hAnsi="Arial" w:eastAsia="Arial" w:cs="Arial"/>
      <w:b/>
      <w:bCs/>
      <w:i/>
      <w:iCs/>
      <w:sz w:val="22"/>
      <w:szCs w:val="22"/>
    </w:rPr>
  </w:style>
  <w:style w:type="character" w:styleId="1054" w:customStyle="1">
    <w:name w:val="Heading 8 Char"/>
    <w:basedOn w:val="1047"/>
    <w:uiPriority w:val="9"/>
    <w:qFormat/>
    <w:pPr>
      <w:pBdr/>
      <w:spacing/>
      <w:ind/>
    </w:pPr>
    <w:rPr>
      <w:rFonts w:ascii="Arial" w:hAnsi="Arial" w:eastAsia="Arial" w:cs="Arial"/>
      <w:i/>
      <w:iCs/>
      <w:sz w:val="22"/>
      <w:szCs w:val="22"/>
    </w:rPr>
  </w:style>
  <w:style w:type="character" w:styleId="1055" w:customStyle="1">
    <w:name w:val="Heading 9 Char"/>
    <w:basedOn w:val="1047"/>
    <w:uiPriority w:val="9"/>
    <w:qFormat/>
    <w:pPr>
      <w:pBdr/>
      <w:spacing/>
      <w:ind/>
    </w:pPr>
    <w:rPr>
      <w:rFonts w:ascii="Arial" w:hAnsi="Arial" w:eastAsia="Arial" w:cs="Arial"/>
      <w:i/>
      <w:iCs/>
      <w:sz w:val="21"/>
      <w:szCs w:val="21"/>
    </w:rPr>
  </w:style>
  <w:style w:type="character" w:styleId="1056" w:customStyle="1">
    <w:name w:val="Title Char"/>
    <w:basedOn w:val="1047"/>
    <w:uiPriority w:val="10"/>
    <w:qFormat/>
    <w:pPr>
      <w:pBdr/>
      <w:spacing/>
      <w:ind/>
    </w:pPr>
    <w:rPr>
      <w:sz w:val="48"/>
      <w:szCs w:val="48"/>
    </w:rPr>
  </w:style>
  <w:style w:type="character" w:styleId="1057" w:customStyle="1">
    <w:name w:val="Subtitle Char"/>
    <w:basedOn w:val="1047"/>
    <w:uiPriority w:val="11"/>
    <w:qFormat/>
    <w:pPr>
      <w:pBdr/>
      <w:spacing/>
      <w:ind/>
    </w:pPr>
    <w:rPr>
      <w:sz w:val="24"/>
      <w:szCs w:val="24"/>
    </w:rPr>
  </w:style>
  <w:style w:type="character" w:styleId="1058" w:customStyle="1">
    <w:name w:val="Intense Quote Char"/>
    <w:uiPriority w:val="30"/>
    <w:qFormat/>
    <w:pPr>
      <w:pBdr/>
      <w:spacing/>
      <w:ind/>
    </w:pPr>
    <w:rPr>
      <w:i/>
    </w:rPr>
  </w:style>
  <w:style w:type="character" w:styleId="1059" w:customStyle="1">
    <w:name w:val="Footnote Text Char"/>
    <w:uiPriority w:val="99"/>
    <w:qFormat/>
    <w:pPr>
      <w:pBdr/>
      <w:spacing/>
      <w:ind/>
    </w:pPr>
    <w:rPr>
      <w:sz w:val="18"/>
    </w:rPr>
  </w:style>
  <w:style w:type="character" w:styleId="1060" w:customStyle="1">
    <w:name w:val="Endnote Text Char"/>
    <w:uiPriority w:val="99"/>
    <w:qFormat/>
    <w:pPr>
      <w:pBdr/>
      <w:spacing/>
      <w:ind/>
    </w:pPr>
    <w:rPr>
      <w:sz w:val="20"/>
    </w:rPr>
  </w:style>
  <w:style w:type="character" w:styleId="1061" w:customStyle="1">
    <w:name w:val="Heading 1 Char"/>
    <w:basedOn w:val="1047"/>
    <w:uiPriority w:val="9"/>
    <w:qFormat/>
    <w:pPr>
      <w:pBdr/>
      <w:spacing/>
      <w:ind/>
    </w:pPr>
    <w:rPr>
      <w:rFonts w:ascii="Arial" w:hAnsi="Arial" w:eastAsia="Arial" w:cs="Arial"/>
      <w:sz w:val="40"/>
      <w:szCs w:val="40"/>
    </w:rPr>
  </w:style>
  <w:style w:type="character" w:styleId="1062" w:customStyle="1">
    <w:name w:val="Título 2 Char"/>
    <w:basedOn w:val="1047"/>
    <w:link w:val="1030"/>
    <w:uiPriority w:val="9"/>
    <w:qFormat/>
    <w:pPr>
      <w:pBdr/>
      <w:spacing/>
      <w:ind/>
    </w:pPr>
    <w:rPr>
      <w:rFonts w:ascii="Arial" w:hAnsi="Arial" w:eastAsia="Arial" w:cs="Arial"/>
      <w:sz w:val="34"/>
    </w:rPr>
  </w:style>
  <w:style w:type="character" w:styleId="1063" w:customStyle="1">
    <w:name w:val="Título 3 Char"/>
    <w:basedOn w:val="1047"/>
    <w:link w:val="1031"/>
    <w:uiPriority w:val="9"/>
    <w:qFormat/>
    <w:pPr>
      <w:pBdr/>
      <w:spacing/>
      <w:ind/>
    </w:pPr>
    <w:rPr>
      <w:rFonts w:ascii="Arial" w:hAnsi="Arial" w:eastAsia="Arial" w:cs="Arial"/>
      <w:sz w:val="30"/>
      <w:szCs w:val="30"/>
    </w:rPr>
  </w:style>
  <w:style w:type="character" w:styleId="1064" w:customStyle="1">
    <w:name w:val="Título 4 Char"/>
    <w:basedOn w:val="1047"/>
    <w:link w:val="1032"/>
    <w:uiPriority w:val="9"/>
    <w:qFormat/>
    <w:pPr>
      <w:pBdr/>
      <w:spacing/>
      <w:ind/>
    </w:pPr>
    <w:rPr>
      <w:rFonts w:ascii="Arial" w:hAnsi="Arial" w:eastAsia="Arial" w:cs="Arial"/>
      <w:b/>
      <w:bCs/>
      <w:sz w:val="26"/>
      <w:szCs w:val="26"/>
    </w:rPr>
  </w:style>
  <w:style w:type="character" w:styleId="1065" w:customStyle="1">
    <w:name w:val="Título 5 Char"/>
    <w:basedOn w:val="1047"/>
    <w:link w:val="1033"/>
    <w:uiPriority w:val="9"/>
    <w:qFormat/>
    <w:pPr>
      <w:pBdr/>
      <w:spacing/>
      <w:ind/>
    </w:pPr>
    <w:rPr>
      <w:rFonts w:ascii="Arial" w:hAnsi="Arial" w:eastAsia="Arial" w:cs="Arial"/>
      <w:b/>
      <w:bCs/>
      <w:sz w:val="24"/>
      <w:szCs w:val="24"/>
    </w:rPr>
  </w:style>
  <w:style w:type="character" w:styleId="1066" w:customStyle="1">
    <w:name w:val="Título 6 Char"/>
    <w:basedOn w:val="1047"/>
    <w:link w:val="1034"/>
    <w:uiPriority w:val="9"/>
    <w:qFormat/>
    <w:pPr>
      <w:pBdr/>
      <w:spacing/>
      <w:ind/>
    </w:pPr>
    <w:rPr>
      <w:rFonts w:ascii="Arial" w:hAnsi="Arial" w:eastAsia="Arial" w:cs="Arial"/>
      <w:b/>
      <w:bCs/>
      <w:sz w:val="22"/>
      <w:szCs w:val="22"/>
    </w:rPr>
  </w:style>
  <w:style w:type="character" w:styleId="1067" w:customStyle="1">
    <w:name w:val="Título 7 Char"/>
    <w:basedOn w:val="1047"/>
    <w:link w:val="1035"/>
    <w:uiPriority w:val="9"/>
    <w:qFormat/>
    <w:pPr>
      <w:pBdr/>
      <w:spacing/>
      <w:ind/>
    </w:pPr>
    <w:rPr>
      <w:rFonts w:ascii="Arial" w:hAnsi="Arial" w:eastAsia="Arial" w:cs="Arial"/>
      <w:b/>
      <w:bCs/>
      <w:i/>
      <w:iCs/>
      <w:sz w:val="22"/>
      <w:szCs w:val="22"/>
    </w:rPr>
  </w:style>
  <w:style w:type="character" w:styleId="1068" w:customStyle="1">
    <w:name w:val="Título 8 Char"/>
    <w:basedOn w:val="1047"/>
    <w:link w:val="1036"/>
    <w:uiPriority w:val="9"/>
    <w:qFormat/>
    <w:pPr>
      <w:pBdr/>
      <w:spacing/>
      <w:ind/>
    </w:pPr>
    <w:rPr>
      <w:rFonts w:ascii="Arial" w:hAnsi="Arial" w:eastAsia="Arial" w:cs="Arial"/>
      <w:i/>
      <w:iCs/>
      <w:sz w:val="22"/>
      <w:szCs w:val="22"/>
    </w:rPr>
  </w:style>
  <w:style w:type="character" w:styleId="1069" w:customStyle="1">
    <w:name w:val="Título 9 Char"/>
    <w:basedOn w:val="1047"/>
    <w:link w:val="1037"/>
    <w:uiPriority w:val="9"/>
    <w:qFormat/>
    <w:pPr>
      <w:pBdr/>
      <w:spacing/>
      <w:ind/>
    </w:pPr>
    <w:rPr>
      <w:rFonts w:ascii="Arial" w:hAnsi="Arial" w:eastAsia="Arial" w:cs="Arial"/>
      <w:i/>
      <w:iCs/>
      <w:sz w:val="21"/>
      <w:szCs w:val="21"/>
    </w:rPr>
  </w:style>
  <w:style w:type="character" w:styleId="1070" w:customStyle="1">
    <w:name w:val="Título Char"/>
    <w:basedOn w:val="1047"/>
    <w:link w:val="1111"/>
    <w:uiPriority w:val="10"/>
    <w:qFormat/>
    <w:pPr>
      <w:pBdr/>
      <w:spacing/>
      <w:ind/>
    </w:pPr>
    <w:rPr>
      <w:sz w:val="48"/>
      <w:szCs w:val="48"/>
    </w:rPr>
  </w:style>
  <w:style w:type="character" w:styleId="1071" w:customStyle="1">
    <w:name w:val="Subtítulo Char"/>
    <w:basedOn w:val="1047"/>
    <w:link w:val="1112"/>
    <w:uiPriority w:val="11"/>
    <w:qFormat/>
    <w:pPr>
      <w:pBdr/>
      <w:spacing/>
      <w:ind/>
    </w:pPr>
    <w:rPr>
      <w:sz w:val="24"/>
      <w:szCs w:val="24"/>
    </w:rPr>
  </w:style>
  <w:style w:type="character" w:styleId="1072" w:customStyle="1">
    <w:name w:val="Quote Char"/>
    <w:uiPriority w:val="29"/>
    <w:qFormat/>
    <w:pPr>
      <w:pBdr/>
      <w:spacing/>
      <w:ind/>
    </w:pPr>
    <w:rPr>
      <w:i/>
    </w:rPr>
  </w:style>
  <w:style w:type="character" w:styleId="1073" w:customStyle="1">
    <w:name w:val="Citação Intensa Char"/>
    <w:link w:val="1113"/>
    <w:uiPriority w:val="30"/>
    <w:qFormat/>
    <w:pPr>
      <w:pBdr/>
      <w:spacing/>
      <w:ind/>
    </w:pPr>
    <w:rPr>
      <w:i/>
    </w:rPr>
  </w:style>
  <w:style w:type="character" w:styleId="1074" w:customStyle="1">
    <w:name w:val="Header Char"/>
    <w:basedOn w:val="1047"/>
    <w:uiPriority w:val="99"/>
    <w:qFormat/>
    <w:pPr>
      <w:pBdr/>
      <w:spacing/>
      <w:ind/>
    </w:pPr>
  </w:style>
  <w:style w:type="character" w:styleId="1075" w:customStyle="1">
    <w:name w:val="Footer Char"/>
    <w:basedOn w:val="1047"/>
    <w:uiPriority w:val="99"/>
    <w:qFormat/>
    <w:pPr>
      <w:pBdr/>
      <w:spacing/>
      <w:ind/>
    </w:pPr>
  </w:style>
  <w:style w:type="character" w:styleId="1076" w:customStyle="1">
    <w:name w:val="Caption Char"/>
    <w:uiPriority w:val="99"/>
    <w:qFormat/>
    <w:pPr>
      <w:pBdr/>
      <w:spacing/>
      <w:ind/>
    </w:pPr>
  </w:style>
  <w:style w:type="character" w:styleId="1077" w:customStyle="1">
    <w:name w:val="Texto de nota de rodapé Char"/>
    <w:link w:val="1114"/>
    <w:uiPriority w:val="99"/>
    <w:qFormat/>
    <w:pPr>
      <w:pBdr/>
      <w:spacing/>
      <w:ind/>
    </w:pPr>
    <w:rPr>
      <w:sz w:val="18"/>
    </w:rPr>
  </w:style>
  <w:style w:type="character" w:styleId="1078">
    <w:name w:val="Footnote Characters"/>
    <w:basedOn w:val="1047"/>
    <w:uiPriority w:val="99"/>
    <w:unhideWhenUsed/>
    <w:qFormat/>
    <w:pPr>
      <w:pBdr/>
      <w:spacing/>
      <w:ind/>
    </w:pPr>
    <w:rPr>
      <w:vertAlign w:val="superscript"/>
    </w:rPr>
  </w:style>
  <w:style w:type="character" w:styleId="1079">
    <w:name w:val="footnote reference"/>
    <w:pPr>
      <w:pBdr/>
      <w:spacing/>
      <w:ind/>
    </w:pPr>
    <w:rPr>
      <w:vertAlign w:val="superscript"/>
    </w:rPr>
  </w:style>
  <w:style w:type="character" w:styleId="1080" w:customStyle="1">
    <w:name w:val="Texto de nota de fim Char"/>
    <w:link w:val="1115"/>
    <w:uiPriority w:val="99"/>
    <w:qFormat/>
    <w:pPr>
      <w:pBdr/>
      <w:spacing/>
      <w:ind/>
    </w:pPr>
    <w:rPr>
      <w:sz w:val="20"/>
    </w:rPr>
  </w:style>
  <w:style w:type="character" w:styleId="1081">
    <w:name w:val="Endnote Characters"/>
    <w:basedOn w:val="1047"/>
    <w:uiPriority w:val="99"/>
    <w:semiHidden/>
    <w:unhideWhenUsed/>
    <w:qFormat/>
    <w:pPr>
      <w:pBdr/>
      <w:spacing/>
      <w:ind/>
    </w:pPr>
    <w:rPr>
      <w:vertAlign w:val="superscript"/>
    </w:rPr>
  </w:style>
  <w:style w:type="character" w:styleId="1082">
    <w:name w:val="endnote reference"/>
    <w:pPr>
      <w:pBdr/>
      <w:spacing/>
      <w:ind/>
    </w:pPr>
    <w:rPr>
      <w:vertAlign w:val="superscript"/>
    </w:rPr>
  </w:style>
  <w:style w:type="character" w:styleId="1083" w:customStyle="1">
    <w:name w:val="Grade Colorida - Ênfase 1 Char"/>
    <w:link w:val="1128"/>
    <w:qFormat/>
    <w:pPr>
      <w:pBdr/>
      <w:spacing/>
      <w:ind/>
    </w:pPr>
    <w:rPr>
      <w:rFonts w:ascii="Ecofont_Spranq_eco_Sans" w:hAnsi="Ecofont_Spranq_eco_Sans" w:eastAsia="Calibri" w:cs="Tahoma"/>
      <w:i/>
      <w:iCs/>
      <w:color w:val="000000"/>
      <w:szCs w:val="24"/>
      <w:lang w:val="pt-BR" w:eastAsia="en-US" w:bidi="ar-SA"/>
    </w:rPr>
  </w:style>
  <w:style w:type="character" w:styleId="1084" w:customStyle="1">
    <w:name w:val="Corpo de texto Char"/>
    <w:uiPriority w:val="99"/>
    <w:qFormat/>
    <w:pPr>
      <w:pBdr/>
      <w:spacing/>
      <w:ind/>
    </w:pPr>
    <w:rPr>
      <w:sz w:val="24"/>
      <w:szCs w:val="24"/>
    </w:rPr>
  </w:style>
  <w:style w:type="character" w:styleId="1085">
    <w:name w:val="Hyperlink"/>
    <w:uiPriority w:val="99"/>
    <w:unhideWhenUsed/>
    <w:pPr>
      <w:pBdr/>
      <w:spacing/>
      <w:ind/>
    </w:pPr>
    <w:rPr>
      <w:color w:val="0000ff"/>
      <w:u w:val="single"/>
    </w:rPr>
  </w:style>
  <w:style w:type="character" w:styleId="1086" w:customStyle="1">
    <w:name w:val="Cabeçalho Char"/>
    <w:basedOn w:val="1047"/>
    <w:link w:val="1131"/>
    <w:qFormat/>
    <w:pPr>
      <w:pBdr/>
      <w:spacing/>
      <w:ind/>
    </w:pPr>
    <w:rPr>
      <w:rFonts w:ascii="Ecofont_Spranq_eco_Sans" w:hAnsi="Ecofont_Spranq_eco_Sans" w:cs="Tahoma"/>
      <w:sz w:val="24"/>
      <w:szCs w:val="24"/>
    </w:rPr>
  </w:style>
  <w:style w:type="character" w:styleId="1087" w:customStyle="1">
    <w:name w:val="Rodapé Char"/>
    <w:basedOn w:val="1047"/>
    <w:link w:val="1132"/>
    <w:uiPriority w:val="99"/>
    <w:qFormat/>
    <w:pPr>
      <w:pBdr/>
      <w:spacing/>
      <w:ind/>
    </w:pPr>
    <w:rPr>
      <w:rFonts w:ascii="Ecofont_Spranq_eco_Sans" w:hAnsi="Ecofont_Spranq_eco_Sans" w:cs="Tahoma"/>
      <w:sz w:val="24"/>
      <w:szCs w:val="24"/>
    </w:rPr>
  </w:style>
  <w:style w:type="character" w:styleId="1088" w:customStyle="1">
    <w:name w:val="citação 2 Char"/>
    <w:basedOn w:val="1089"/>
    <w:link w:val="1133"/>
    <w:qFormat/>
    <w:pPr>
      <w:pBdr/>
      <w:spacing/>
      <w:ind/>
    </w:pPr>
    <w:rPr>
      <w:rFonts w:ascii="Ecofont_Spranq_eco_Sans" w:hAnsi="Ecofont_Spranq_eco_Sans" w:eastAsia="Calibri" w:cs="Tahoma"/>
      <w:i/>
      <w:iCs/>
      <w:color w:val="000000"/>
      <w:sz w:val="24"/>
      <w:szCs w:val="24"/>
      <w:shd w:val="clear" w:color="auto" w:fill="ffffcc"/>
      <w:lang w:eastAsia="en-US"/>
    </w:rPr>
  </w:style>
  <w:style w:type="character" w:styleId="1089" w:customStyle="1">
    <w:name w:val="Citação Char"/>
    <w:basedOn w:val="1047"/>
    <w:link w:val="1134"/>
    <w:uiPriority w:val="29"/>
    <w:qFormat/>
    <w:pPr>
      <w:pBdr/>
      <w:spacing/>
      <w:ind/>
    </w:pPr>
    <w:rPr>
      <w:rFonts w:ascii="Ecofont_Spranq_eco_Sans" w:hAnsi="Ecofont_Spranq_eco_Sans" w:cs="Tahoma"/>
      <w:i/>
      <w:iCs/>
      <w:color w:val="000000" w:themeColor="text1"/>
      <w:sz w:val="24"/>
      <w:szCs w:val="24"/>
    </w:rPr>
  </w:style>
  <w:style w:type="character" w:styleId="1090" w:customStyle="1">
    <w:name w:val="Título 1 Char"/>
    <w:basedOn w:val="1047"/>
    <w:link w:val="1029"/>
    <w:qFormat/>
    <w:pPr>
      <w:pBdr/>
      <w:spacing/>
      <w:ind/>
    </w:pPr>
    <w:rPr>
      <w:rFonts w:ascii="Cambria" w:hAnsi="Cambria" w:eastAsia="Arial" w:cs="Arial" w:asciiTheme="majorHAnsi" w:hAnsiTheme="majorHAnsi" w:eastAsiaTheme="majorEastAsia" w:cstheme="majorBidi"/>
      <w:b/>
      <w:bCs/>
      <w:color w:val="365f91" w:themeColor="accent1" w:themeShade="BF"/>
      <w:sz w:val="28"/>
      <w:szCs w:val="28"/>
    </w:rPr>
  </w:style>
  <w:style w:type="character" w:styleId="1091" w:customStyle="1">
    <w:name w:val="Nivel1 Char"/>
    <w:basedOn w:val="1090"/>
    <w:link w:val="1135"/>
    <w:qFormat/>
    <w:pPr>
      <w:pBdr/>
      <w:spacing/>
      <w:ind/>
    </w:pPr>
    <w:rPr>
      <w:rFonts w:ascii="Arial" w:hAnsi="Arial" w:eastAsia="Arial" w:cs="Arial" w:eastAsiaTheme="majorEastAsia"/>
      <w:b/>
      <w:bCs/>
      <w:color w:val="365f91" w:themeColor="accent1" w:themeShade="BF"/>
      <w:sz w:val="28"/>
      <w:szCs w:val="28"/>
    </w:rPr>
  </w:style>
  <w:style w:type="character" w:styleId="1092">
    <w:name w:val="annotation reference"/>
    <w:basedOn w:val="1047"/>
    <w:semiHidden/>
    <w:unhideWhenUsed/>
    <w:qFormat/>
    <w:pPr>
      <w:pBdr/>
      <w:spacing/>
      <w:ind/>
    </w:pPr>
    <w:rPr>
      <w:sz w:val="16"/>
      <w:szCs w:val="16"/>
    </w:rPr>
  </w:style>
  <w:style w:type="character" w:styleId="1093" w:customStyle="1">
    <w:name w:val="Texto de comentário Char"/>
    <w:basedOn w:val="1047"/>
    <w:link w:val="1137"/>
    <w:qFormat/>
    <w:pPr>
      <w:pBdr/>
      <w:spacing/>
      <w:ind/>
    </w:pPr>
    <w:rPr>
      <w:rFonts w:ascii="Ecofont_Spranq_eco_Sans" w:hAnsi="Ecofont_Spranq_eco_Sans" w:cs="Tahoma"/>
    </w:rPr>
  </w:style>
  <w:style w:type="character" w:styleId="1094" w:customStyle="1">
    <w:name w:val="Assunto do comentário Char"/>
    <w:basedOn w:val="1093"/>
    <w:link w:val="1138"/>
    <w:semiHidden/>
    <w:qFormat/>
    <w:pPr>
      <w:pBdr/>
      <w:spacing/>
      <w:ind/>
    </w:pPr>
    <w:rPr>
      <w:rFonts w:ascii="Ecofont_Spranq_eco_Sans" w:hAnsi="Ecofont_Spranq_eco_Sans" w:cs="Tahoma"/>
      <w:b/>
      <w:bCs/>
    </w:rPr>
  </w:style>
  <w:style w:type="character" w:styleId="1095" w:customStyle="1">
    <w:name w:val="Texto de balão Char"/>
    <w:basedOn w:val="1047"/>
    <w:link w:val="1139"/>
    <w:semiHidden/>
    <w:qFormat/>
    <w:pPr>
      <w:pBdr/>
      <w:spacing/>
      <w:ind/>
    </w:pPr>
    <w:rPr>
      <w:rFonts w:ascii="Segoe UI" w:hAnsi="Segoe UI" w:cs="Segoe UI"/>
      <w:sz w:val="18"/>
      <w:szCs w:val="18"/>
    </w:rPr>
  </w:style>
  <w:style w:type="character" w:styleId="1096" w:customStyle="1">
    <w:name w:val="Nivel 01 Char"/>
    <w:basedOn w:val="1047"/>
    <w:link w:val="1136"/>
    <w:qFormat/>
    <w:pPr>
      <w:pBdr/>
      <w:spacing/>
      <w:ind/>
    </w:pPr>
    <w:rPr>
      <w:rFonts w:ascii="Arial" w:hAnsi="Arial" w:eastAsia="Arial" w:cs="Arial" w:eastAsiaTheme="majorEastAsia"/>
      <w:b/>
      <w:bCs/>
      <w:lang w:eastAsia="en-US"/>
    </w:rPr>
  </w:style>
  <w:style w:type="character" w:styleId="1097" w:customStyle="1">
    <w:name w:val="Nivel 2 Char"/>
    <w:basedOn w:val="1047"/>
    <w:link w:val="1141"/>
    <w:qFormat/>
    <w:pPr>
      <w:pBdr/>
      <w:spacing/>
      <w:ind/>
    </w:pPr>
    <w:rPr>
      <w:rFonts w:ascii="Arial" w:hAnsi="Arial" w:cs="Arial"/>
    </w:rPr>
  </w:style>
  <w:style w:type="character" w:styleId="1098" w:customStyle="1">
    <w:name w:val="Nível 2 -Red Char"/>
    <w:basedOn w:val="1097"/>
    <w:link w:val="1142"/>
    <w:qFormat/>
    <w:pPr>
      <w:pBdr/>
      <w:spacing/>
      <w:ind/>
    </w:pPr>
    <w:rPr>
      <w:rFonts w:ascii="Arial" w:hAnsi="Arial" w:cs="Arial"/>
      <w:i/>
      <w:iCs/>
      <w:color w:val="ff0000"/>
    </w:rPr>
  </w:style>
  <w:style w:type="character" w:styleId="1099" w:customStyle="1">
    <w:name w:val="ou Char"/>
    <w:basedOn w:val="1047"/>
    <w:link w:val="1143"/>
    <w:qFormat/>
    <w:pPr>
      <w:pBdr/>
      <w:spacing/>
      <w:ind/>
    </w:pPr>
    <w:rPr>
      <w:rFonts w:ascii="Arial" w:hAnsi="Arial" w:eastAsia="Calibri" w:cs="Arial" w:eastAsiaTheme="minorHAnsi"/>
      <w:b/>
      <w:bCs/>
      <w:i/>
      <w:iCs/>
      <w:color w:val="ff0000"/>
      <w:szCs w:val="24"/>
      <w:u w:val="single"/>
    </w:rPr>
  </w:style>
  <w:style w:type="character" w:styleId="1100" w:customStyle="1">
    <w:name w:val="Nível 3-R Char"/>
    <w:basedOn w:val="1047"/>
    <w:link w:val="1144"/>
    <w:qFormat/>
    <w:pPr>
      <w:pBdr/>
      <w:spacing/>
      <w:ind/>
    </w:pPr>
    <w:rPr>
      <w:rFonts w:ascii="Arial" w:hAnsi="Arial" w:eastAsia="Arial" w:cs="Arial" w:eastAsiaTheme="minorEastAsia"/>
      <w:i/>
      <w:iCs/>
      <w:color w:val="ff0000"/>
    </w:rPr>
  </w:style>
  <w:style w:type="character" w:styleId="1101" w:customStyle="1">
    <w:name w:val="Nível 3 Char"/>
    <w:basedOn w:val="1100"/>
    <w:link w:val="1145"/>
    <w:qFormat/>
    <w:pPr>
      <w:pBdr/>
      <w:spacing/>
      <w:ind/>
    </w:pPr>
    <w:rPr>
      <w:rFonts w:ascii="Arial" w:hAnsi="Arial" w:eastAsia="Arial" w:cs="Arial" w:eastAsiaTheme="minorEastAsia"/>
      <w:i/>
      <w:iCs/>
      <w:color w:val="ff0000"/>
    </w:rPr>
  </w:style>
  <w:style w:type="character" w:styleId="1102" w:customStyle="1">
    <w:name w:val="Nível 4 Char"/>
    <w:basedOn w:val="1101"/>
    <w:link w:val="1146"/>
    <w:qFormat/>
    <w:pPr>
      <w:pBdr/>
      <w:spacing/>
      <w:ind/>
    </w:pPr>
    <w:rPr>
      <w:rFonts w:ascii="Arial" w:hAnsi="Arial" w:eastAsia="Arial" w:cs="Arial" w:eastAsiaTheme="minorEastAsia"/>
      <w:i/>
      <w:iCs/>
      <w:color w:val="ff0000"/>
    </w:rPr>
  </w:style>
  <w:style w:type="character" w:styleId="1103" w:customStyle="1">
    <w:name w:val="SubTitNN Char"/>
    <w:basedOn w:val="1047"/>
    <w:link w:val="1147"/>
    <w:qFormat/>
    <w:pPr>
      <w:pBdr/>
      <w:spacing/>
      <w:ind/>
    </w:pPr>
    <w:rPr>
      <w:rFonts w:ascii="Arial" w:hAnsi="Arial" w:cs="Arial"/>
      <w:b/>
      <w:bCs/>
      <w:iCs/>
    </w:rPr>
  </w:style>
  <w:style w:type="character" w:styleId="1104" w:customStyle="1">
    <w:name w:val="cf01"/>
    <w:basedOn w:val="1047"/>
    <w:qFormat/>
    <w:pPr>
      <w:pBdr/>
      <w:spacing/>
      <w:ind/>
    </w:pPr>
    <w:rPr>
      <w:rFonts w:ascii="Segoe UI" w:hAnsi="Segoe UI" w:cs="Segoe UI"/>
      <w:sz w:val="18"/>
      <w:szCs w:val="18"/>
    </w:rPr>
  </w:style>
  <w:style w:type="paragraph" w:styleId="1105">
    <w:name w:val="Heading"/>
    <w:basedOn w:val="1028"/>
    <w:next w:val="1106"/>
    <w:qFormat/>
    <w:pPr>
      <w:keepNext w:val="true"/>
      <w:pBdr/>
      <w:spacing w:after="120" w:before="240"/>
      <w:ind/>
    </w:pPr>
    <w:rPr>
      <w:rFonts w:ascii="Liberation Sans" w:hAnsi="Liberation Sans" w:eastAsia="Noto Sans CJK SC" w:cs="Noto Sans Devanagari"/>
      <w:sz w:val="28"/>
      <w:szCs w:val="28"/>
    </w:rPr>
  </w:style>
  <w:style w:type="paragraph" w:styleId="1106">
    <w:name w:val="Body Text"/>
    <w:basedOn w:val="1028"/>
    <w:link w:val="1084"/>
    <w:uiPriority w:val="99"/>
    <w:unhideWhenUsed/>
    <w:pPr>
      <w:pBdr/>
      <w:spacing w:afterAutospacing="1" w:beforeAutospacing="1"/>
      <w:ind/>
    </w:pPr>
    <w:rPr>
      <w:rFonts w:ascii="Times New Roman" w:hAnsi="Times New Roman" w:cs="Times New Roman"/>
    </w:rPr>
  </w:style>
  <w:style w:type="paragraph" w:styleId="1107">
    <w:name w:val="List"/>
    <w:basedOn w:val="1106"/>
    <w:pPr>
      <w:pBdr/>
      <w:spacing/>
      <w:ind/>
    </w:pPr>
    <w:rPr>
      <w:rFonts w:cs="Noto Sans Devanagari"/>
    </w:rPr>
  </w:style>
  <w:style w:type="paragraph" w:styleId="1108">
    <w:name w:val="Caption"/>
    <w:basedOn w:val="1028"/>
    <w:next w:val="1028"/>
    <w:uiPriority w:val="35"/>
    <w:semiHidden/>
    <w:unhideWhenUsed/>
    <w:qFormat/>
    <w:pPr>
      <w:pBdr/>
      <w:spacing w:line="276" w:lineRule="auto"/>
      <w:ind/>
    </w:pPr>
    <w:rPr>
      <w:b/>
      <w:bCs/>
      <w:color w:val="4f81bd" w:themeColor="accent1"/>
      <w:sz w:val="18"/>
      <w:szCs w:val="18"/>
    </w:rPr>
  </w:style>
  <w:style w:type="paragraph" w:styleId="1109">
    <w:name w:val="Index"/>
    <w:basedOn w:val="1028"/>
    <w:qFormat/>
    <w:pPr>
      <w:suppressLineNumbers w:val="true"/>
      <w:pBdr/>
      <w:spacing/>
      <w:ind/>
    </w:pPr>
    <w:rPr>
      <w:rFonts w:cs="Noto Sans Devanagari"/>
    </w:rPr>
  </w:style>
  <w:style w:type="paragraph" w:styleId="1110">
    <w:name w:val="No Spacing"/>
    <w:uiPriority w:val="1"/>
    <w:qFormat/>
    <w:pPr>
      <w:widowControl w:val="true"/>
      <w:pBdr/>
      <w:bidi w:val="false"/>
      <w:spacing w:after="0" w:before="0"/>
      <w:ind/>
      <w:jc w:val="left"/>
    </w:pPr>
    <w:rPr>
      <w:rFonts w:ascii="Times New Roman" w:hAnsi="Times New Roman" w:eastAsia="Noto Serif CJK SC" w:cs="Noto Sans Devanagari"/>
      <w:color w:val="auto"/>
      <w:sz w:val="20"/>
      <w:szCs w:val="20"/>
      <w:lang w:val="pt-BR" w:eastAsia="pt-BR" w:bidi="ar-SA"/>
    </w:rPr>
  </w:style>
  <w:style w:type="paragraph" w:styleId="1111">
    <w:name w:val="Title"/>
    <w:basedOn w:val="1028"/>
    <w:next w:val="1028"/>
    <w:link w:val="1070"/>
    <w:uiPriority w:val="10"/>
    <w:qFormat/>
    <w:pPr>
      <w:pBdr/>
      <w:spacing w:after="200" w:before="300"/>
      <w:ind/>
      <w:contextualSpacing w:val="true"/>
    </w:pPr>
    <w:rPr>
      <w:sz w:val="48"/>
      <w:szCs w:val="48"/>
    </w:rPr>
  </w:style>
  <w:style w:type="paragraph" w:styleId="1112">
    <w:name w:val="Subtitle"/>
    <w:basedOn w:val="1028"/>
    <w:next w:val="1028"/>
    <w:link w:val="1071"/>
    <w:uiPriority w:val="11"/>
    <w:qFormat/>
    <w:pPr>
      <w:pBdr/>
      <w:spacing w:after="200" w:before="200"/>
      <w:ind/>
    </w:pPr>
  </w:style>
  <w:style w:type="paragraph" w:styleId="1113">
    <w:name w:val="Intense Quote"/>
    <w:basedOn w:val="1028"/>
    <w:next w:val="1028"/>
    <w:link w:val="107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paragraph" w:styleId="1114">
    <w:name w:val="footnote text"/>
    <w:basedOn w:val="1028"/>
    <w:link w:val="1077"/>
    <w:uiPriority w:val="99"/>
    <w:semiHidden/>
    <w:unhideWhenUsed/>
    <w:pPr>
      <w:pBdr/>
      <w:spacing w:after="40" w:before="0"/>
      <w:ind/>
    </w:pPr>
    <w:rPr>
      <w:sz w:val="18"/>
    </w:rPr>
  </w:style>
  <w:style w:type="paragraph" w:styleId="1115">
    <w:name w:val="endnote text"/>
    <w:basedOn w:val="1028"/>
    <w:link w:val="1080"/>
    <w:uiPriority w:val="99"/>
    <w:semiHidden/>
    <w:unhideWhenUsed/>
    <w:pPr>
      <w:pBdr/>
      <w:spacing/>
      <w:ind/>
    </w:pPr>
    <w:rPr>
      <w:sz w:val="20"/>
    </w:rPr>
  </w:style>
  <w:style w:type="paragraph" w:styleId="1116">
    <w:name w:val="toc 1"/>
    <w:basedOn w:val="1028"/>
    <w:next w:val="1028"/>
    <w:uiPriority w:val="39"/>
    <w:unhideWhenUsed/>
    <w:pPr>
      <w:pBdr/>
      <w:spacing w:after="57" w:before="0"/>
      <w:ind/>
    </w:pPr>
  </w:style>
  <w:style w:type="paragraph" w:styleId="1117">
    <w:name w:val="toc 2"/>
    <w:basedOn w:val="1028"/>
    <w:next w:val="1028"/>
    <w:uiPriority w:val="39"/>
    <w:unhideWhenUsed/>
    <w:pPr>
      <w:pBdr/>
      <w:spacing w:after="57" w:before="0"/>
      <w:ind w:left="283"/>
    </w:pPr>
  </w:style>
  <w:style w:type="paragraph" w:styleId="1118">
    <w:name w:val="toc 3"/>
    <w:basedOn w:val="1028"/>
    <w:next w:val="1028"/>
    <w:uiPriority w:val="39"/>
    <w:unhideWhenUsed/>
    <w:pPr>
      <w:pBdr/>
      <w:spacing w:after="57" w:before="0"/>
      <w:ind w:left="567"/>
    </w:pPr>
  </w:style>
  <w:style w:type="paragraph" w:styleId="1119">
    <w:name w:val="toc 4"/>
    <w:basedOn w:val="1028"/>
    <w:next w:val="1028"/>
    <w:uiPriority w:val="39"/>
    <w:unhideWhenUsed/>
    <w:pPr>
      <w:pBdr/>
      <w:spacing w:after="57" w:before="0"/>
      <w:ind w:left="850"/>
    </w:pPr>
  </w:style>
  <w:style w:type="paragraph" w:styleId="1120">
    <w:name w:val="toc 5"/>
    <w:basedOn w:val="1028"/>
    <w:next w:val="1028"/>
    <w:uiPriority w:val="39"/>
    <w:unhideWhenUsed/>
    <w:pPr>
      <w:pBdr/>
      <w:spacing w:after="57" w:before="0"/>
      <w:ind w:left="1134"/>
    </w:pPr>
  </w:style>
  <w:style w:type="paragraph" w:styleId="1121">
    <w:name w:val="toc 6"/>
    <w:basedOn w:val="1028"/>
    <w:next w:val="1028"/>
    <w:uiPriority w:val="39"/>
    <w:unhideWhenUsed/>
    <w:pPr>
      <w:pBdr/>
      <w:spacing w:after="57" w:before="0"/>
      <w:ind w:left="1417"/>
    </w:pPr>
  </w:style>
  <w:style w:type="paragraph" w:styleId="1122">
    <w:name w:val="toc 7"/>
    <w:basedOn w:val="1028"/>
    <w:next w:val="1028"/>
    <w:uiPriority w:val="39"/>
    <w:unhideWhenUsed/>
    <w:pPr>
      <w:pBdr/>
      <w:spacing w:after="57" w:before="0"/>
      <w:ind w:left="1701"/>
    </w:pPr>
  </w:style>
  <w:style w:type="paragraph" w:styleId="1123">
    <w:name w:val="toc 8"/>
    <w:basedOn w:val="1028"/>
    <w:next w:val="1028"/>
    <w:uiPriority w:val="39"/>
    <w:unhideWhenUsed/>
    <w:pPr>
      <w:pBdr/>
      <w:spacing w:after="57" w:before="0"/>
      <w:ind w:left="1984"/>
    </w:pPr>
  </w:style>
  <w:style w:type="paragraph" w:styleId="1124">
    <w:name w:val="toc 9"/>
    <w:basedOn w:val="1028"/>
    <w:next w:val="1028"/>
    <w:uiPriority w:val="39"/>
    <w:unhideWhenUsed/>
    <w:pPr>
      <w:pBdr/>
      <w:spacing w:after="57" w:before="0"/>
      <w:ind w:left="2268"/>
    </w:pPr>
  </w:style>
  <w:style w:type="paragraph" w:styleId="1125">
    <w:name w:val="Index Heading"/>
    <w:basedOn w:val="1105"/>
    <w:pPr>
      <w:pBdr/>
      <w:spacing/>
      <w:ind/>
    </w:pPr>
  </w:style>
  <w:style w:type="paragraph" w:styleId="1126">
    <w:name w:val="TOC Heading"/>
    <w:uiPriority w:val="39"/>
    <w:unhideWhenUsed/>
    <w:qFormat/>
    <w:pPr>
      <w:widowControl w:val="true"/>
      <w:pBdr/>
      <w:bidi w:val="false"/>
      <w:spacing w:after="0" w:before="0"/>
      <w:ind/>
      <w:jc w:val="left"/>
    </w:pPr>
    <w:rPr>
      <w:rFonts w:ascii="Times New Roman" w:hAnsi="Times New Roman" w:eastAsia="Noto Serif CJK SC" w:cs="Noto Sans Devanagari"/>
      <w:color w:val="auto"/>
      <w:sz w:val="20"/>
      <w:szCs w:val="20"/>
      <w:lang w:val="pt-BR" w:eastAsia="pt-BR" w:bidi="ar-SA"/>
    </w:rPr>
  </w:style>
  <w:style w:type="paragraph" w:styleId="1127">
    <w:name w:val="table of figures"/>
    <w:basedOn w:val="1028"/>
    <w:next w:val="1028"/>
    <w:uiPriority w:val="99"/>
    <w:unhideWhenUsed/>
    <w:pPr>
      <w:pBdr/>
      <w:spacing/>
      <w:ind/>
    </w:pPr>
  </w:style>
  <w:style w:type="paragraph" w:styleId="1128" w:customStyle="1">
    <w:name w:val="Grade Colorida - Ênfase 11"/>
    <w:basedOn w:val="1028"/>
    <w:next w:val="1028"/>
    <w:link w:val="1083"/>
    <w:qFormat/>
    <w:pPr>
      <w:pBdr>
        <w:top w:val="single" w:color="1f497d" w:sz="4" w:space="1"/>
        <w:left w:val="single" w:color="1f497d" w:sz="4" w:space="4"/>
        <w:bottom w:val="single" w:color="1f497d" w:sz="4" w:space="1"/>
        <w:right w:val="single" w:color="1f497d" w:sz="4" w:space="4"/>
      </w:pBdr>
      <w:shd w:val="clear" w:color="auto" w:fill="ffffcc"/>
      <w:spacing w:after="0" w:before="120"/>
      <w:ind/>
      <w:jc w:val="both"/>
    </w:pPr>
    <w:rPr>
      <w:rFonts w:eastAsia="Calibri"/>
      <w:i/>
      <w:iCs/>
      <w:color w:val="000000"/>
      <w:sz w:val="20"/>
      <w:lang w:eastAsia="en-US"/>
    </w:rPr>
  </w:style>
  <w:style w:type="paragraph" w:styleId="1129">
    <w:name w:val="List Paragraph"/>
    <w:basedOn w:val="1028"/>
    <w:uiPriority w:val="34"/>
    <w:qFormat/>
    <w:pPr>
      <w:pBdr/>
      <w:spacing w:after="0" w:before="0"/>
      <w:ind w:left="720"/>
      <w:contextualSpacing w:val="true"/>
    </w:pPr>
  </w:style>
  <w:style w:type="paragraph" w:styleId="1130">
    <w:name w:val="Header and Footer"/>
    <w:basedOn w:val="1028"/>
    <w:qFormat/>
    <w:pPr>
      <w:pBdr/>
      <w:spacing/>
      <w:ind/>
    </w:pPr>
  </w:style>
  <w:style w:type="paragraph" w:styleId="1131">
    <w:name w:val="Header"/>
    <w:basedOn w:val="1028"/>
    <w:link w:val="1086"/>
    <w:unhideWhenUsed/>
    <w:pPr>
      <w:pBdr/>
      <w:tabs>
        <w:tab w:val="clear" w:leader="none" w:pos="708"/>
        <w:tab w:val="center" w:leader="none" w:pos="4252"/>
        <w:tab w:val="right" w:leader="none" w:pos="8504"/>
      </w:tabs>
      <w:spacing/>
      <w:ind/>
    </w:pPr>
  </w:style>
  <w:style w:type="paragraph" w:styleId="1132">
    <w:name w:val="Footer"/>
    <w:basedOn w:val="1028"/>
    <w:link w:val="1087"/>
    <w:uiPriority w:val="99"/>
    <w:unhideWhenUsed/>
    <w:pPr>
      <w:pBdr/>
      <w:tabs>
        <w:tab w:val="clear" w:leader="none" w:pos="708"/>
        <w:tab w:val="center" w:leader="none" w:pos="4252"/>
        <w:tab w:val="right" w:leader="none" w:pos="8504"/>
      </w:tabs>
      <w:spacing/>
      <w:ind/>
    </w:pPr>
  </w:style>
  <w:style w:type="paragraph" w:styleId="1133" w:customStyle="1">
    <w:name w:val="citação 2"/>
    <w:basedOn w:val="1134"/>
    <w:link w:val="1088"/>
    <w:qFormat/>
    <w:pPr>
      <w:pBdr>
        <w:top w:val="single" w:color="1f497d" w:sz="4" w:space="1"/>
        <w:left w:val="single" w:color="1f497d" w:sz="4" w:space="4"/>
        <w:bottom w:val="single" w:color="1f497d" w:sz="4" w:space="1"/>
        <w:right w:val="single" w:color="1f497d" w:sz="4" w:space="4"/>
      </w:pBdr>
      <w:shd w:val="clear" w:color="auto" w:fill="ffffcc"/>
      <w:spacing w:after="0" w:before="120"/>
      <w:ind/>
      <w:jc w:val="both"/>
    </w:pPr>
    <w:rPr>
      <w:rFonts w:eastAsia="Calibri"/>
      <w:color w:val="000000"/>
      <w:lang w:eastAsia="en-US"/>
    </w:rPr>
  </w:style>
  <w:style w:type="paragraph" w:styleId="1134">
    <w:name w:val="Quote"/>
    <w:basedOn w:val="1028"/>
    <w:next w:val="1028"/>
    <w:link w:val="1089"/>
    <w:uiPriority w:val="29"/>
    <w:qFormat/>
    <w:pPr>
      <w:pBdr/>
      <w:spacing/>
      <w:ind/>
    </w:pPr>
    <w:rPr>
      <w:i/>
      <w:iCs/>
      <w:color w:val="000000" w:themeColor="text1"/>
    </w:rPr>
  </w:style>
  <w:style w:type="paragraph" w:styleId="1135" w:customStyle="1">
    <w:name w:val="Nivel1"/>
    <w:basedOn w:val="1029"/>
    <w:next w:val="1028"/>
    <w:link w:val="1091"/>
    <w:qFormat/>
    <w:pPr>
      <w:widowControl w:val="false"/>
      <w:pBdr/>
      <w:spacing w:after="120" w:before="480" w:line="276" w:lineRule="auto"/>
      <w:ind w:hanging="360" w:left="360"/>
      <w:jc w:val="both"/>
    </w:pPr>
    <w:rPr>
      <w:rFonts w:ascii="Arial" w:hAnsi="Arial" w:cs="Arial"/>
      <w:color w:val="auto" w:themeColor="accent1" w:themeShade="BF"/>
      <w:sz w:val="20"/>
      <w:szCs w:val="20"/>
    </w:rPr>
  </w:style>
  <w:style w:type="paragraph" w:styleId="1136" w:customStyle="1">
    <w:name w:val="Nivel 01"/>
    <w:basedOn w:val="1029"/>
    <w:next w:val="1028"/>
    <w:link w:val="1096"/>
    <w:qFormat/>
    <w:pPr>
      <w:numPr>
        <w:ilvl w:val="0"/>
        <w:numId w:val="1"/>
      </w:numPr>
      <w:pBdr/>
      <w:tabs>
        <w:tab w:val="left" w:leader="none" w:pos="567"/>
        <w:tab w:val="clear" w:leader="none" w:pos="708"/>
      </w:tabs>
      <w:spacing w:after="120" w:before="120" w:line="276" w:lineRule="auto"/>
      <w:ind w:firstLine="0" w:left="0"/>
      <w:jc w:val="both"/>
    </w:pPr>
    <w:rPr>
      <w:rFonts w:ascii="Arial" w:hAnsi="Arial" w:cs="Arial"/>
      <w:color w:val="auto" w:themeColor="accent1" w:themeShade="BF"/>
      <w:sz w:val="20"/>
      <w:szCs w:val="20"/>
      <w:lang w:eastAsia="en-US"/>
    </w:rPr>
  </w:style>
  <w:style w:type="paragraph" w:styleId="1137">
    <w:name w:val="annotation text"/>
    <w:basedOn w:val="1028"/>
    <w:link w:val="1093"/>
    <w:unhideWhenUsed/>
    <w:qFormat/>
    <w:pPr>
      <w:pBdr/>
      <w:spacing/>
      <w:ind/>
    </w:pPr>
    <w:rPr>
      <w:sz w:val="20"/>
      <w:szCs w:val="20"/>
    </w:rPr>
  </w:style>
  <w:style w:type="paragraph" w:styleId="1138">
    <w:name w:val="annotation subject"/>
    <w:basedOn w:val="1137"/>
    <w:next w:val="1137"/>
    <w:link w:val="1094"/>
    <w:semiHidden/>
    <w:unhideWhenUsed/>
    <w:qFormat/>
    <w:pPr>
      <w:pBdr/>
      <w:spacing/>
      <w:ind/>
    </w:pPr>
    <w:rPr>
      <w:b/>
      <w:bCs/>
    </w:rPr>
  </w:style>
  <w:style w:type="paragraph" w:styleId="1139">
    <w:name w:val="Balloon Text"/>
    <w:basedOn w:val="1028"/>
    <w:link w:val="1095"/>
    <w:semiHidden/>
    <w:unhideWhenUsed/>
    <w:qFormat/>
    <w:pPr>
      <w:pBdr/>
      <w:spacing/>
      <w:ind/>
    </w:pPr>
    <w:rPr>
      <w:rFonts w:ascii="Segoe UI" w:hAnsi="Segoe UI" w:cs="Segoe UI"/>
      <w:sz w:val="18"/>
      <w:szCs w:val="18"/>
    </w:rPr>
  </w:style>
  <w:style w:type="paragraph" w:styleId="1140">
    <w:name w:val="Revision"/>
    <w:uiPriority w:val="99"/>
    <w:semiHidden/>
    <w:qFormat/>
    <w:pPr>
      <w:widowControl w:val="true"/>
      <w:pBdr/>
      <w:bidi w:val="false"/>
      <w:spacing w:after="0" w:before="0"/>
      <w:ind/>
      <w:jc w:val="left"/>
    </w:pPr>
    <w:rPr>
      <w:rFonts w:ascii="Ecofont_Spranq_eco_Sans" w:hAnsi="Ecofont_Spranq_eco_Sans" w:eastAsia="Noto Serif CJK SC" w:cs="Tahoma"/>
      <w:color w:val="auto"/>
      <w:sz w:val="24"/>
      <w:szCs w:val="24"/>
      <w:lang w:val="pt-BR" w:eastAsia="pt-BR" w:bidi="ar-SA"/>
    </w:rPr>
  </w:style>
  <w:style w:type="paragraph" w:styleId="1141" w:customStyle="1">
    <w:name w:val="Nivel 2"/>
    <w:basedOn w:val="1028"/>
    <w:link w:val="1097"/>
    <w:qFormat/>
    <w:pPr>
      <w:numPr>
        <w:ilvl w:val="1"/>
        <w:numId w:val="1"/>
      </w:numPr>
      <w:pBdr/>
      <w:spacing w:after="120" w:before="120" w:line="276" w:lineRule="auto"/>
      <w:ind w:firstLine="0" w:left="0"/>
      <w:jc w:val="both"/>
    </w:pPr>
    <w:rPr>
      <w:rFonts w:ascii="Arial" w:hAnsi="Arial" w:cs="Arial"/>
      <w:sz w:val="20"/>
      <w:szCs w:val="20"/>
    </w:rPr>
  </w:style>
  <w:style w:type="paragraph" w:styleId="1142" w:customStyle="1">
    <w:name w:val="Nível 2 -Red"/>
    <w:basedOn w:val="1141"/>
    <w:link w:val="1098"/>
    <w:qFormat/>
    <w:pPr>
      <w:pBdr/>
      <w:spacing/>
      <w:ind/>
    </w:pPr>
    <w:rPr>
      <w:i/>
      <w:iCs/>
      <w:color w:val="ff0000"/>
    </w:rPr>
  </w:style>
  <w:style w:type="paragraph" w:styleId="1143" w:customStyle="1">
    <w:name w:val="ou"/>
    <w:basedOn w:val="1129"/>
    <w:link w:val="1099"/>
    <w:qFormat/>
    <w:pPr>
      <w:pBdr/>
      <w:spacing w:after="60" w:before="60" w:line="259" w:lineRule="auto"/>
      <w:ind w:left="0"/>
      <w:contextualSpacing w:val="false"/>
      <w:jc w:val="center"/>
    </w:pPr>
    <w:rPr>
      <w:rFonts w:ascii="Arial" w:hAnsi="Arial" w:eastAsia="Calibri" w:cs="Arial" w:eastAsiaTheme="minorHAnsi"/>
      <w:b/>
      <w:bCs/>
      <w:i/>
      <w:iCs/>
      <w:color w:val="ff0000"/>
      <w:sz w:val="20"/>
      <w:u w:val="single"/>
    </w:rPr>
  </w:style>
  <w:style w:type="paragraph" w:styleId="1144" w:customStyle="1">
    <w:name w:val="Nível 3-R"/>
    <w:basedOn w:val="1028"/>
    <w:link w:val="1100"/>
    <w:qFormat/>
    <w:pPr>
      <w:numPr>
        <w:ilvl w:val="2"/>
        <w:numId w:val="1"/>
      </w:numPr>
      <w:pBdr/>
      <w:spacing w:after="120" w:before="120" w:line="276" w:lineRule="auto"/>
      <w:ind w:firstLine="0" w:left="284"/>
      <w:jc w:val="both"/>
    </w:pPr>
    <w:rPr>
      <w:rFonts w:ascii="Arial" w:hAnsi="Arial" w:eastAsia="Arial" w:cs="Arial" w:eastAsiaTheme="minorEastAsia"/>
      <w:i/>
      <w:iCs/>
      <w:color w:val="ff0000"/>
      <w:sz w:val="20"/>
      <w:szCs w:val="20"/>
    </w:rPr>
  </w:style>
  <w:style w:type="paragraph" w:styleId="1145" w:customStyle="1">
    <w:name w:val="Nível 3"/>
    <w:basedOn w:val="1144"/>
    <w:link w:val="1101"/>
    <w:qFormat/>
    <w:pPr>
      <w:pBdr/>
      <w:spacing/>
      <w:ind/>
    </w:pPr>
    <w:rPr>
      <w:rFonts w:eastAsia="Times New Roman"/>
      <w:color w:val="auto"/>
    </w:rPr>
  </w:style>
  <w:style w:type="paragraph" w:styleId="1146" w:customStyle="1">
    <w:name w:val="Nível 4"/>
    <w:basedOn w:val="1145"/>
    <w:link w:val="1102"/>
    <w:qFormat/>
    <w:pPr>
      <w:pBdr/>
      <w:spacing/>
      <w:ind w:firstLine="0" w:left="567"/>
    </w:pPr>
  </w:style>
  <w:style w:type="paragraph" w:styleId="1147" w:customStyle="1">
    <w:name w:val="SubTitNN"/>
    <w:basedOn w:val="1028"/>
    <w:link w:val="1103"/>
    <w:qFormat/>
    <w:pPr>
      <w:pBdr/>
      <w:spacing w:after="120" w:before="240" w:line="276" w:lineRule="auto"/>
      <w:ind/>
      <w:jc w:val="both"/>
    </w:pPr>
    <w:rPr>
      <w:rFonts w:ascii="Arial" w:hAnsi="Arial" w:cs="Arial"/>
      <w:b/>
      <w:bCs/>
      <w:iCs/>
      <w:sz w:val="20"/>
      <w:szCs w:val="20"/>
    </w:rPr>
  </w:style>
  <w:style w:type="paragraph" w:styleId="1148" w:customStyle="1">
    <w:name w:val="Conteúdo do quadro"/>
    <w:basedOn w:val="1028"/>
    <w:qFormat/>
    <w:pPr>
      <w:pBdr/>
      <w:spacing/>
      <w:ind/>
    </w:pPr>
    <w:rPr>
      <w:rFonts w:ascii="Times New Roman" w:hAnsi="Times New Roman" w:cs="Times New Roman"/>
      <w:szCs w:val="20"/>
    </w:rPr>
  </w:style>
  <w:style w:type="paragraph" w:styleId="1149" w:customStyle="1">
    <w:name w:val="pf0"/>
    <w:basedOn w:val="1028"/>
    <w:qFormat/>
    <w:pPr>
      <w:pBdr/>
      <w:spacing w:afterAutospacing="1" w:beforeAutospacing="1"/>
      <w:ind/>
    </w:pPr>
    <w:rPr>
      <w:rFonts w:ascii="Times New Roman" w:hAnsi="Times New Roman" w:cs="Times New Roman"/>
    </w:rPr>
  </w:style>
  <w:style w:type="paragraph" w:styleId="1150">
    <w:name w:val="Frame Contents"/>
    <w:basedOn w:val="1028"/>
    <w:qFormat/>
    <w:pPr>
      <w:pBdr/>
      <w:spacing/>
      <w:ind/>
    </w:pPr>
  </w:style>
  <w:style w:type="paragraph" w:styleId="1151">
    <w:name w:val="Comment"/>
    <w:basedOn w:val="1028"/>
    <w:qFormat/>
    <w:pPr>
      <w:pBdr/>
      <w:spacing/>
      <w:ind/>
    </w:pPr>
    <w:rPr>
      <w:sz w:val="20"/>
      <w:szCs w:val="20"/>
    </w:rPr>
  </w:style>
  <w:style w:type="numbering" w:styleId="1152" w:default="1">
    <w:name w:val="No List"/>
    <w:uiPriority w:val="99"/>
    <w:semiHidden/>
    <w:unhideWhenUsed/>
    <w:qFormat/>
    <w:pPr>
      <w:pBdr/>
      <w:spacing/>
      <w:ind/>
    </w:pPr>
  </w:style>
  <w:style w:type="table" w:styleId="1153"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name w:val="Table Grid"/>
    <w:basedOn w:val="115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customStyle="1">
    <w:name w:val="Table Grid Light"/>
    <w:basedOn w:val="115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6">
    <w:name w:val="Plain Table 1"/>
    <w:basedOn w:val="115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fill="f2f2f2" w:themeFill="text1" w:themeFillTint="00"/>
        <w:tcBorders/>
      </w:tcPr>
    </w:tblStylePr>
    <w:tblStylePr w:type="band1Vert">
      <w:pPr>
        <w:pBdr/>
        <w:spacing/>
        <w:ind/>
      </w:pPr>
      <w:tblPr>
        <w:tblBorders/>
      </w:tblPr>
      <w:tcPr>
        <w:shd w:val="clear" w:color="f2f2f2"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7">
    <w:name w:val="Plain Table 2"/>
    <w:basedOn w:val="1153"/>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bottom w:val="single" w:color="000000" w:themeColor="text1"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8">
    <w:name w:val="Plain Table 3"/>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shd w:val="clear" w:color="f2f2f2" w:fill="f2f2f2" w:themeFill="text1" w:themeFillTint="00"/>
        <w:tcBorders/>
      </w:tcPr>
    </w:tblStylePr>
    <w:tblStylePr w:type="band1Vert">
      <w:rPr>
        <w:sz w:val="22"/>
      </w:rPr>
      <w:pPr>
        <w:pBdr/>
        <w:spacing/>
        <w:ind/>
      </w:pPr>
      <w:tblPr>
        <w:tblBorders/>
      </w:tblPr>
      <w:tcPr>
        <w:shd w:val="clear" w:color="f2f2f2"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rPr>
      <w:pPr>
        <w:pBdr/>
        <w:spacing/>
        <w:ind/>
      </w:pPr>
      <w:tblPr>
        <w:tblBorders/>
      </w:tblPr>
      <w:tcPr>
        <w:tcBorders/>
      </w:tcPr>
    </w:tblStylePr>
    <w:tblStylePr w:type="lastRow">
      <w:rPr>
        <w:b/>
        <w:caps/>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9">
    <w:name w:val="Plain Table 4"/>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shd w:val="clear" w:color="f2f2f2" w:fill="f2f2f2" w:themeFill="text1" w:themeFillTint="00"/>
        <w:tcBorders/>
      </w:tcPr>
    </w:tblStylePr>
    <w:tblStylePr w:type="band1Vert">
      <w:rPr>
        <w:sz w:val="22"/>
      </w:rPr>
      <w:pPr>
        <w:pBdr/>
        <w:spacing/>
        <w:ind/>
      </w:pPr>
      <w:tblPr>
        <w:tblBorders/>
      </w:tblPr>
      <w:tcPr>
        <w:shd w:val="clear" w:color="f2f2f2"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0">
    <w:name w:val="Plain Table 5"/>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shd w:val="clear" w:color="f2f2f2" w:fill="f2f2f2" w:themeFill="text1" w:themeFillTint="00"/>
        <w:tcBorders/>
      </w:tcPr>
    </w:tblStylePr>
    <w:tblStylePr w:type="band1Vert">
      <w:rPr>
        <w:sz w:val="22"/>
      </w:rPr>
      <w:pPr>
        <w:pBdr/>
        <w:spacing/>
        <w:ind/>
      </w:pPr>
      <w:tblPr>
        <w:tblBorders/>
      </w:tblPr>
      <w:tcPr>
        <w:shd w:val="clear" w:color="f2f2f2"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right w:val="single" w:color="404040" w:sz="4" w:space="0"/>
        </w:tcBorders>
      </w:tcPr>
    </w:tblStylePr>
    <w:tblStylePr w:type="firstRow">
      <w:rPr>
        <w:i/>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rPr>
      <w:pPr>
        <w:pBdr/>
        <w:spacing/>
        <w:ind/>
      </w:pPr>
      <w:tblPr>
        <w:tblBorders/>
      </w:tblPr>
      <w:tcPr>
        <w:shd w:val="clear" w:color="ffffff" w:fill="auto"/>
        <w:tcBorders>
          <w:left w:val="single" w:color="404040" w:sz="4" w:space="0"/>
        </w:tcBorders>
      </w:tcPr>
    </w:tblStylePr>
    <w:tblStylePr w:type="lastRow">
      <w:rPr>
        <w:i/>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1">
    <w:name w:val="Grid Table 1 Light"/>
    <w:basedOn w:val="1153"/>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sz w:val="22"/>
      </w:rPr>
      <w:pPr>
        <w:pBdr/>
        <w:spacing/>
        <w:ind/>
      </w:pPr>
      <w:tblPr>
        <w:tblBorders/>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6a6a6a" w:themeColor="tex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2" w:customStyle="1">
    <w:name w:val="Grid Table 1 Light - Accent 1"/>
    <w:basedOn w:val="115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sz w:val="22"/>
      </w:rPr>
      <w:pPr>
        <w:pBdr/>
        <w:spacing/>
        <w:ind/>
      </w:pPr>
      <w:tblPr>
        <w:tblBorders/>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97b4d8" w:themeColor="accen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customStyle="1">
    <w:name w:val="Grid Table 1 Light - Accent 2"/>
    <w:basedOn w:val="115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sz w:val="22"/>
      </w:rPr>
      <w:pPr>
        <w:pBdr/>
        <w:spacing/>
        <w:ind/>
      </w:pPr>
      <w:tblPr>
        <w:tblBorders/>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da9896" w:themeColor="accent2"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customStyle="1">
    <w:name w:val="Grid Table 1 Light - Accent 3"/>
    <w:basedOn w:val="115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sz w:val="22"/>
      </w:rPr>
      <w:pPr>
        <w:pBdr/>
        <w:spacing/>
        <w:ind/>
      </w:pPr>
      <w:tblPr>
        <w:tblBorders/>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c4d79d" w:themeColor="accent3"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customStyle="1">
    <w:name w:val="Grid Table 1 Light - Accent 4"/>
    <w:basedOn w:val="115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sz w:val="22"/>
      </w:rPr>
      <w:pPr>
        <w:pBdr/>
        <w:spacing/>
        <w:ind/>
      </w:pPr>
      <w:tblPr>
        <w:tblBorders/>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b4a4c8" w:themeColor="accent4"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customStyle="1">
    <w:name w:val="Grid Table 1 Light - Accent 5"/>
    <w:basedOn w:val="115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sz w:val="22"/>
      </w:rPr>
      <w:pPr>
        <w:pBdr/>
        <w:spacing/>
        <w:ind/>
      </w:pPr>
      <w:tblPr>
        <w:tblBorders/>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95cedd" w:themeColor="accent5"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customStyle="1">
    <w:name w:val="Grid Table 1 Light - Accent 6"/>
    <w:basedOn w:val="115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sz w:val="22"/>
      </w:rPr>
      <w:pPr>
        <w:pBdr/>
        <w:spacing/>
        <w:ind/>
      </w:pPr>
      <w:tblPr>
        <w:tblBorders/>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fac192" w:themeColor="accent6"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name w:val="Grid Table 2"/>
    <w:basedOn w:val="115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sz w:val="22"/>
      </w:rPr>
      <w:pPr>
        <w:pBdr/>
        <w:spacing/>
        <w:ind/>
      </w:pPr>
      <w:tblPr>
        <w:tblBorders/>
      </w:tblPr>
      <w:tcPr>
        <w:shd w:val="clear" w:color="cbcbcb" w:fill="cbcbcb" w:themeFill="text1" w:themeFillTint="34"/>
        <w:tcBorders/>
      </w:tcPr>
    </w:tblStylePr>
    <w:tblStylePr w:type="band1Vert">
      <w:rPr>
        <w:sz w:val="22"/>
      </w:rPr>
      <w:pPr>
        <w:pBdr/>
        <w:spacing/>
        <w:ind/>
      </w:pPr>
      <w:tblPr>
        <w:tblBorders/>
      </w:tblPr>
      <w:tcPr>
        <w:shd w:val="clear" w:color="cbcbcb"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6a6a6a" w:themeColor="tex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6a6a6a"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customStyle="1">
    <w:name w:val="Grid Table 2 - Accent 1"/>
    <w:basedOn w:val="115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sz w:val="22"/>
      </w:rPr>
      <w:pPr>
        <w:pBdr/>
        <w:spacing/>
        <w:ind/>
      </w:pPr>
      <w:tblPr>
        <w:tblBorders/>
      </w:tblPr>
      <w:tcPr>
        <w:shd w:val="clear" w:color="dae5f1" w:fill="dae5f1" w:themeFill="accent1" w:themeFillTint="34"/>
        <w:tcBorders/>
      </w:tcPr>
    </w:tblStylePr>
    <w:tblStylePr w:type="band1Vert">
      <w:rPr>
        <w:sz w:val="22"/>
      </w:rPr>
      <w:pPr>
        <w:pBdr/>
        <w:spacing/>
        <w:ind/>
      </w:pPr>
      <w:tblPr>
        <w:tblBorders/>
      </w:tblPr>
      <w:tcPr>
        <w:shd w:val="clear" w:color="dae5f1"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5d8ac2" w:themeColor="accen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5d8ac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customStyle="1">
    <w:name w:val="Grid Table 2 - Accent 2"/>
    <w:basedOn w:val="115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sz w:val="22"/>
      </w:rPr>
      <w:pPr>
        <w:pBdr/>
        <w:spacing/>
        <w:ind/>
      </w:pPr>
      <w:tblPr>
        <w:tblBorders/>
      </w:tblPr>
      <w:tcPr>
        <w:shd w:val="clear" w:color="f2dcdc" w:fill="f2dcdc" w:themeFill="accent2" w:themeFillTint="32"/>
        <w:tcBorders/>
      </w:tcPr>
    </w:tblStylePr>
    <w:tblStylePr w:type="band1Vert">
      <w:rPr>
        <w:sz w:val="22"/>
      </w:rPr>
      <w:pPr>
        <w:pBdr/>
        <w:spacing/>
        <w:ind/>
      </w:pPr>
      <w:tblPr>
        <w:tblBorders/>
      </w:tblPr>
      <w:tcPr>
        <w:shd w:val="clear" w:color="f2dcdc"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d99695" w:themeColor="accent2"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d99695"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customStyle="1">
    <w:name w:val="Grid Table 2 - Accent 3"/>
    <w:basedOn w:val="115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sz w:val="22"/>
      </w:rPr>
      <w:pPr>
        <w:pBdr/>
        <w:spacing/>
        <w:ind/>
      </w:pPr>
      <w:tblPr>
        <w:tblBorders/>
      </w:tblPr>
      <w:tcPr>
        <w:shd w:val="clear" w:color="eaf1dc" w:fill="eaf1dc" w:themeFill="accent3" w:themeFillTint="34"/>
        <w:tcBorders/>
      </w:tcPr>
    </w:tblStylePr>
    <w:tblStylePr w:type="band1Vert">
      <w:rPr>
        <w:sz w:val="22"/>
      </w:rPr>
      <w:pPr>
        <w:pBdr/>
        <w:spacing/>
        <w:ind/>
      </w:pPr>
      <w:tblPr>
        <w:tblBorders/>
      </w:tblPr>
      <w:tcPr>
        <w:shd w:val="clear" w:color="eaf1dc"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9abb59" w:themeColor="accent3"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9a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customStyle="1">
    <w:name w:val="Grid Table 2 - Accent 4"/>
    <w:basedOn w:val="115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sz w:val="22"/>
      </w:rPr>
      <w:pPr>
        <w:pBdr/>
        <w:spacing/>
        <w:ind/>
      </w:pPr>
      <w:tblPr>
        <w:tblBorders/>
      </w:tblPr>
      <w:tcPr>
        <w:shd w:val="clear" w:color="e5dfec" w:fill="e5dfec" w:themeFill="accent4" w:themeFillTint="34"/>
        <w:tcBorders/>
      </w:tcPr>
    </w:tblStylePr>
    <w:tblStylePr w:type="band1Vert">
      <w:rPr>
        <w:sz w:val="22"/>
      </w:rPr>
      <w:pPr>
        <w:pBdr/>
        <w:spacing/>
        <w:ind/>
      </w:pPr>
      <w:tblPr>
        <w:tblBorders/>
      </w:tblPr>
      <w:tcPr>
        <w:shd w:val="clear" w:color="e5dfec"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b2a1c6" w:themeColor="accent4"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b2a1c6"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customStyle="1">
    <w:name w:val="Grid Table 2 - Accent 5"/>
    <w:basedOn w:val="115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sz w:val="22"/>
      </w:rPr>
      <w:pPr>
        <w:pBdr/>
        <w:spacing/>
        <w:ind/>
      </w:pPr>
      <w:tblPr>
        <w:tblBorders/>
      </w:tblPr>
      <w:tcPr>
        <w:shd w:val="clear" w:color="daeef3" w:fill="daeef3" w:themeFill="accent5" w:themeFillTint="34"/>
        <w:tcBorders/>
      </w:tcPr>
    </w:tblStylePr>
    <w:tblStylePr w:type="band1Vert">
      <w:rPr>
        <w:sz w:val="22"/>
      </w:rPr>
      <w:pPr>
        <w:pBdr/>
        <w:spacing/>
        <w:ind/>
      </w:pPr>
      <w:tblPr>
        <w:tblBorders/>
      </w:tblPr>
      <w:tcPr>
        <w:shd w:val="clear" w:color="daeef3"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4" w:customStyle="1">
    <w:name w:val="Grid Table 2 - Accent 6"/>
    <w:basedOn w:val="115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sz w:val="22"/>
      </w:rPr>
      <w:pPr>
        <w:pBdr/>
        <w:spacing/>
        <w:ind/>
      </w:pPr>
      <w:tblPr>
        <w:tblBorders/>
      </w:tblPr>
      <w:tcPr>
        <w:shd w:val="clear" w:color="fde9d8" w:fill="fde9d8" w:themeFill="accent6" w:themeFillTint="34"/>
        <w:tcBorders/>
      </w:tcPr>
    </w:tblStylePr>
    <w:tblStylePr w:type="band1Vert">
      <w:rPr>
        <w:sz w:val="22"/>
      </w:rPr>
      <w:pPr>
        <w:pBdr/>
        <w:spacing/>
        <w:ind/>
      </w:pPr>
      <w:tblPr>
        <w:tblBorders/>
      </w:tblPr>
      <w:tcPr>
        <w:shd w:val="clear" w:color="fde9d8"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5">
    <w:name w:val="Grid Table 3"/>
    <w:basedOn w:val="115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sz w:val="22"/>
      </w:rPr>
      <w:pPr>
        <w:pBdr/>
        <w:spacing/>
        <w:ind/>
      </w:pPr>
      <w:tblPr>
        <w:tblBorders/>
      </w:tblPr>
      <w:tcPr>
        <w:shd w:val="clear" w:color="cbcbcb" w:fill="cbcbcb" w:themeFill="text1" w:themeFillTint="34"/>
        <w:tcBorders/>
      </w:tcPr>
    </w:tblStylePr>
    <w:tblStylePr w:type="band1Vert">
      <w:rPr>
        <w:sz w:val="22"/>
      </w:rPr>
      <w:pPr>
        <w:pBdr/>
        <w:spacing/>
        <w:ind/>
      </w:pPr>
      <w:tblPr>
        <w:tblBorders/>
      </w:tblPr>
      <w:tcPr>
        <w:shd w:val="clear" w:color="cbcbcb"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6" w:customStyle="1">
    <w:name w:val="Grid Table 3 - Accent 1"/>
    <w:basedOn w:val="115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sz w:val="22"/>
      </w:rPr>
      <w:pPr>
        <w:pBdr/>
        <w:spacing/>
        <w:ind/>
      </w:pPr>
      <w:tblPr>
        <w:tblBorders/>
      </w:tblPr>
      <w:tcPr>
        <w:shd w:val="clear" w:color="dae5f1" w:fill="dae5f1" w:themeFill="accent1" w:themeFillTint="34"/>
        <w:tcBorders/>
      </w:tcPr>
    </w:tblStylePr>
    <w:tblStylePr w:type="band1Vert">
      <w:rPr>
        <w:sz w:val="22"/>
      </w:rPr>
      <w:pPr>
        <w:pBdr/>
        <w:spacing/>
        <w:ind/>
      </w:pPr>
      <w:tblPr>
        <w:tblBorders/>
      </w:tblPr>
      <w:tcPr>
        <w:shd w:val="clear" w:color="dae5f1"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7" w:customStyle="1">
    <w:name w:val="Grid Table 3 - Accent 2"/>
    <w:basedOn w:val="115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sz w:val="22"/>
      </w:rPr>
      <w:pPr>
        <w:pBdr/>
        <w:spacing/>
        <w:ind/>
      </w:pPr>
      <w:tblPr>
        <w:tblBorders/>
      </w:tblPr>
      <w:tcPr>
        <w:shd w:val="clear" w:color="f2dcdc" w:fill="f2dcdc" w:themeFill="accent2" w:themeFillTint="32"/>
        <w:tcBorders/>
      </w:tcPr>
    </w:tblStylePr>
    <w:tblStylePr w:type="band1Vert">
      <w:rPr>
        <w:sz w:val="22"/>
      </w:rPr>
      <w:pPr>
        <w:pBdr/>
        <w:spacing/>
        <w:ind/>
      </w:pPr>
      <w:tblPr>
        <w:tblBorders/>
      </w:tblPr>
      <w:tcPr>
        <w:shd w:val="clear" w:color="f2dcdc"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8" w:customStyle="1">
    <w:name w:val="Grid Table 3 - Accent 3"/>
    <w:basedOn w:val="115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sz w:val="22"/>
      </w:rPr>
      <w:pPr>
        <w:pBdr/>
        <w:spacing/>
        <w:ind/>
      </w:pPr>
      <w:tblPr>
        <w:tblBorders/>
      </w:tblPr>
      <w:tcPr>
        <w:shd w:val="clear" w:color="eaf1dc" w:fill="eaf1dc" w:themeFill="accent3" w:themeFillTint="34"/>
        <w:tcBorders/>
      </w:tcPr>
    </w:tblStylePr>
    <w:tblStylePr w:type="band1Vert">
      <w:rPr>
        <w:sz w:val="22"/>
      </w:rPr>
      <w:pPr>
        <w:pBdr/>
        <w:spacing/>
        <w:ind/>
      </w:pPr>
      <w:tblPr>
        <w:tblBorders/>
      </w:tblPr>
      <w:tcPr>
        <w:shd w:val="clear" w:color="eaf1dc"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9" w:customStyle="1">
    <w:name w:val="Grid Table 3 - Accent 4"/>
    <w:basedOn w:val="115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sz w:val="22"/>
      </w:rPr>
      <w:pPr>
        <w:pBdr/>
        <w:spacing/>
        <w:ind/>
      </w:pPr>
      <w:tblPr>
        <w:tblBorders/>
      </w:tblPr>
      <w:tcPr>
        <w:shd w:val="clear" w:color="e5dfec" w:fill="e5dfec" w:themeFill="accent4" w:themeFillTint="34"/>
        <w:tcBorders/>
      </w:tcPr>
    </w:tblStylePr>
    <w:tblStylePr w:type="band1Vert">
      <w:rPr>
        <w:sz w:val="22"/>
      </w:rPr>
      <w:pPr>
        <w:pBdr/>
        <w:spacing/>
        <w:ind/>
      </w:pPr>
      <w:tblPr>
        <w:tblBorders/>
      </w:tblPr>
      <w:tcPr>
        <w:shd w:val="clear" w:color="e5dfec"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0" w:customStyle="1">
    <w:name w:val="Grid Table 3 - Accent 5"/>
    <w:basedOn w:val="115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sz w:val="22"/>
      </w:rPr>
      <w:pPr>
        <w:pBdr/>
        <w:spacing/>
        <w:ind/>
      </w:pPr>
      <w:tblPr>
        <w:tblBorders/>
      </w:tblPr>
      <w:tcPr>
        <w:shd w:val="clear" w:color="daeef3" w:fill="daeef3" w:themeFill="accent5" w:themeFillTint="34"/>
        <w:tcBorders/>
      </w:tcPr>
    </w:tblStylePr>
    <w:tblStylePr w:type="band1Vert">
      <w:rPr>
        <w:sz w:val="22"/>
      </w:rPr>
      <w:pPr>
        <w:pBdr/>
        <w:spacing/>
        <w:ind/>
      </w:pPr>
      <w:tblPr>
        <w:tblBorders/>
      </w:tblPr>
      <w:tcPr>
        <w:shd w:val="clear" w:color="daeef3"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1" w:customStyle="1">
    <w:name w:val="Grid Table 3 - Accent 6"/>
    <w:basedOn w:val="115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sz w:val="22"/>
      </w:rPr>
      <w:pPr>
        <w:pBdr/>
        <w:spacing/>
        <w:ind/>
      </w:pPr>
      <w:tblPr>
        <w:tblBorders/>
      </w:tblPr>
      <w:tcPr>
        <w:shd w:val="clear" w:color="fde9d8" w:fill="fde9d8" w:themeFill="accent6" w:themeFillTint="34"/>
        <w:tcBorders/>
      </w:tcPr>
    </w:tblStylePr>
    <w:tblStylePr w:type="band1Vert">
      <w:rPr>
        <w:sz w:val="22"/>
      </w:rPr>
      <w:pPr>
        <w:pBdr/>
        <w:spacing/>
        <w:ind/>
      </w:pPr>
      <w:tblPr>
        <w:tblBorders/>
      </w:tblPr>
      <w:tcPr>
        <w:shd w:val="clear" w:color="fde9d8"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2">
    <w:name w:val="Grid Table 4"/>
    <w:basedOn w:val="1153"/>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sz w:val="22"/>
      </w:rPr>
      <w:pPr>
        <w:pBdr/>
        <w:spacing/>
        <w:ind/>
      </w:pPr>
      <w:tblPr>
        <w:tblBorders/>
      </w:tblPr>
      <w:tcPr>
        <w:shd w:val="clear" w:color="cbcbcb" w:fill="cbcbcb" w:themeFill="text1" w:themeFillTint="34"/>
        <w:tcBorders/>
      </w:tcPr>
    </w:tblStylePr>
    <w:tblStylePr w:type="band1Vert">
      <w:rPr>
        <w:sz w:val="22"/>
      </w:rPr>
      <w:pPr>
        <w:pBdr/>
        <w:spacing/>
        <w:ind/>
      </w:pPr>
      <w:tblPr>
        <w:tblBorders/>
      </w:tblPr>
      <w:tcPr>
        <w:shd w:val="clear" w:color="cbcbcb"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3" w:customStyle="1">
    <w:name w:val="Grid Table 4 - Accent 1"/>
    <w:basedOn w:val="1153"/>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sz w:val="22"/>
      </w:rPr>
      <w:pPr>
        <w:pBdr/>
        <w:spacing/>
        <w:ind/>
      </w:pPr>
      <w:tblPr>
        <w:tblBorders/>
      </w:tblPr>
      <w:tcPr>
        <w:shd w:val="clear" w:color="dce6f2" w:fill="dce6f2" w:themeFill="accent1" w:themeFillTint="32"/>
        <w:tcBorders/>
      </w:tcPr>
    </w:tblStylePr>
    <w:tblStylePr w:type="band1Vert">
      <w:rPr>
        <w:sz w:val="22"/>
      </w:rPr>
      <w:pPr>
        <w:pBdr/>
        <w:spacing/>
        <w:ind/>
      </w:pPr>
      <w:tblPr>
        <w:tblBorders/>
      </w:tblPr>
      <w:tcPr>
        <w:shd w:val="clear" w:color="dce6f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5d8ac2" w:fill="5d8ac2" w:themeFill="accent1" w:themeFillTint="EA"/>
        <w:tcBorders>
          <w:top w:val="single" w:color="5d8ac2" w:themeColor="accent1" w:sz="4" w:space="0"/>
          <w:left w:val="single" w:color="5d8ac2" w:themeColor="accent1" w:sz="4" w:space="0"/>
          <w:bottom w:val="single" w:color="5d8ac2" w:themeColor="accent1" w:sz="4" w:space="0"/>
          <w:right w:val="single" w:color="5d8ac2" w:themeColor="accen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5d8ac2"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4" w:customStyle="1">
    <w:name w:val="Grid Table 4 - Accent 2"/>
    <w:basedOn w:val="1153"/>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sz w:val="22"/>
      </w:rPr>
      <w:pPr>
        <w:pBdr/>
        <w:spacing/>
        <w:ind/>
      </w:pPr>
      <w:tblPr>
        <w:tblBorders/>
      </w:tblPr>
      <w:tcPr>
        <w:shd w:val="clear" w:color="f2dcdc" w:fill="f2dcdc" w:themeFill="accent2" w:themeFillTint="32"/>
        <w:tcBorders/>
      </w:tcPr>
    </w:tblStylePr>
    <w:tblStylePr w:type="band1Vert">
      <w:rPr>
        <w:sz w:val="22"/>
      </w:rPr>
      <w:pPr>
        <w:pBdr/>
        <w:spacing/>
        <w:ind/>
      </w:pPr>
      <w:tblPr>
        <w:tblBorders/>
      </w:tblPr>
      <w:tcPr>
        <w:shd w:val="clear" w:color="f2dcdc"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d99695" w:fill="d99695" w:themeFill="accent2" w:themeFillTint="97"/>
        <w:tcBorders>
          <w:top w:val="single" w:color="d99695" w:themeColor="accent2" w:sz="4" w:space="0"/>
          <w:left w:val="single" w:color="d99695" w:themeColor="accent2" w:sz="4" w:space="0"/>
          <w:bottom w:val="single" w:color="d99695" w:themeColor="accent2" w:sz="4" w:space="0"/>
          <w:right w:val="single" w:color="d99695" w:themeColor="accent2"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d99695"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5" w:customStyle="1">
    <w:name w:val="Grid Table 4 - Accent 3"/>
    <w:basedOn w:val="1153"/>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sz w:val="22"/>
      </w:rPr>
      <w:pPr>
        <w:pBdr/>
        <w:spacing/>
        <w:ind/>
      </w:pPr>
      <w:tblPr>
        <w:tblBorders/>
      </w:tblPr>
      <w:tcPr>
        <w:shd w:val="clear" w:color="eaf1dc" w:fill="eaf1dc" w:themeFill="accent3" w:themeFillTint="34"/>
        <w:tcBorders/>
      </w:tcPr>
    </w:tblStylePr>
    <w:tblStylePr w:type="band1Vert">
      <w:rPr>
        <w:sz w:val="22"/>
      </w:rPr>
      <w:pPr>
        <w:pBdr/>
        <w:spacing/>
        <w:ind/>
      </w:pPr>
      <w:tblPr>
        <w:tblBorders/>
      </w:tblPr>
      <w:tcPr>
        <w:shd w:val="clear" w:color="eaf1dc"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abb59" w:fill="9abb59" w:themeFill="accent3" w:themeFillTint="FE"/>
        <w:tcBorders>
          <w:top w:val="single" w:color="9abb59" w:themeColor="accent3" w:sz="4" w:space="0"/>
          <w:left w:val="single" w:color="9abb59" w:themeColor="accent3" w:sz="4" w:space="0"/>
          <w:bottom w:val="single" w:color="9abb59" w:themeColor="accent3" w:sz="4" w:space="0"/>
          <w:right w:val="single" w:color="9abb59" w:themeColor="accent3"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9abb59"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6" w:customStyle="1">
    <w:name w:val="Grid Table 4 - Accent 4"/>
    <w:basedOn w:val="1153"/>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sz w:val="22"/>
      </w:rPr>
      <w:pPr>
        <w:pBdr/>
        <w:spacing/>
        <w:ind/>
      </w:pPr>
      <w:tblPr>
        <w:tblBorders/>
      </w:tblPr>
      <w:tcPr>
        <w:shd w:val="clear" w:color="e5dfec" w:fill="e5dfec" w:themeFill="accent4" w:themeFillTint="34"/>
        <w:tcBorders/>
      </w:tcPr>
    </w:tblStylePr>
    <w:tblStylePr w:type="band1Vert">
      <w:rPr>
        <w:sz w:val="22"/>
      </w:rPr>
      <w:pPr>
        <w:pBdr/>
        <w:spacing/>
        <w:ind/>
      </w:pPr>
      <w:tblPr>
        <w:tblBorders/>
      </w:tblPr>
      <w:tcPr>
        <w:shd w:val="clear" w:color="e5dfec"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b2a1c6" w:fill="b2a1c6" w:themeFill="accent4" w:themeFillTint="9A"/>
        <w:tcBorders>
          <w:top w:val="single" w:color="b2a1c6" w:themeColor="accent4" w:sz="4" w:space="0"/>
          <w:left w:val="single" w:color="b2a1c6" w:themeColor="accent4" w:sz="4" w:space="0"/>
          <w:bottom w:val="single" w:color="b2a1c6" w:themeColor="accent4" w:sz="4" w:space="0"/>
          <w:right w:val="single" w:color="b2a1c6" w:themeColor="accent4"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b2a1c6"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7" w:customStyle="1">
    <w:name w:val="Grid Table 4 - Accent 5"/>
    <w:basedOn w:val="1153"/>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sz w:val="22"/>
      </w:rPr>
      <w:pPr>
        <w:pBdr/>
        <w:spacing/>
        <w:ind/>
      </w:pPr>
      <w:tblPr>
        <w:tblBorders/>
      </w:tblPr>
      <w:tcPr>
        <w:shd w:val="clear" w:color="daeef3" w:fill="daeef3" w:themeFill="accent5" w:themeFillTint="34"/>
        <w:tcBorders/>
      </w:tcPr>
    </w:tblStylePr>
    <w:tblStylePr w:type="band1Vert">
      <w:rPr>
        <w:sz w:val="22"/>
      </w:rPr>
      <w:pPr>
        <w:pBdr/>
        <w:spacing/>
        <w:ind/>
      </w:pPr>
      <w:tblPr>
        <w:tblBorders/>
      </w:tblPr>
      <w:tcPr>
        <w:shd w:val="clear" w:color="daeef3"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bacc6"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8" w:customStyle="1">
    <w:name w:val="Grid Table 4 - Accent 6"/>
    <w:basedOn w:val="1153"/>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sz w:val="22"/>
      </w:rPr>
      <w:pPr>
        <w:pBdr/>
        <w:spacing/>
        <w:ind/>
      </w:pPr>
      <w:tblPr>
        <w:tblBorders/>
      </w:tblPr>
      <w:tcPr>
        <w:shd w:val="clear" w:color="fde9d8" w:fill="fde9d8" w:themeFill="accent6" w:themeFillTint="34"/>
        <w:tcBorders/>
      </w:tcPr>
    </w:tblStylePr>
    <w:tblStylePr w:type="band1Vert">
      <w:rPr>
        <w:sz w:val="22"/>
      </w:rPr>
      <w:pPr>
        <w:pBdr/>
        <w:spacing/>
        <w:ind/>
      </w:pPr>
      <w:tblPr>
        <w:tblBorders/>
      </w:tblPr>
      <w:tcPr>
        <w:shd w:val="clear" w:color="fde9d8"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7964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9">
    <w:name w:val="Grid Table 5 Dark"/>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a8a8a" w:fill="8a8a8a" w:themeFill="text1" w:themeFillTint="75"/>
        <w:tcBorders/>
      </w:tcPr>
    </w:tblStylePr>
    <w:tblStylePr w:type="band1Vert">
      <w:pPr>
        <w:pBdr/>
        <w:spacing/>
        <w:ind/>
      </w:pPr>
      <w:tblPr>
        <w:tblBorders/>
      </w:tblPr>
      <w:tcPr>
        <w:shd w:val="clear" w:color="8a8a8a"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000000" w:fill="000000" w:themeFill="text1"/>
        <w:tcBorders/>
      </w:tcPr>
    </w:tblStylePr>
    <w:tblStylePr w:type="firstRow">
      <w:rPr>
        <w:b/>
        <w:sz w:val="22"/>
      </w:rPr>
      <w:pPr>
        <w:pBdr/>
        <w:spacing/>
        <w:ind/>
      </w:pPr>
      <w:tblPr>
        <w:tblBorders/>
      </w:tblPr>
      <w:tcPr>
        <w:shd w:val="clear" w:color="000000" w:fill="000000" w:themeFill="text1"/>
        <w:tcBorders/>
      </w:tcPr>
    </w:tblStylePr>
    <w:tblStylePr w:type="lastCol">
      <w:rPr>
        <w:b/>
        <w:sz w:val="22"/>
      </w:rPr>
      <w:pPr>
        <w:pBdr/>
        <w:spacing/>
        <w:ind/>
      </w:pPr>
      <w:tblPr>
        <w:tblBorders/>
      </w:tblPr>
      <w:tcPr>
        <w:shd w:val="clear" w:color="000000" w:fill="000000" w:themeFill="text1"/>
        <w:tcBorders/>
      </w:tcPr>
    </w:tblStylePr>
    <w:tblStylePr w:type="lastRow">
      <w:rPr>
        <w:b/>
        <w:sz w:val="22"/>
      </w:rPr>
      <w:pPr>
        <w:pBdr/>
        <w:spacing/>
        <w:ind/>
      </w:pPr>
      <w:tblPr>
        <w:tblBorders/>
      </w:tblPr>
      <w:tcPr>
        <w:shd w:val="clear" w:color="000000"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0" w:customStyle="1">
    <w:name w:val="Grid Table 5 Dark- Accent 1"/>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ec4e0" w:fill="aec4e0" w:themeFill="accent1" w:themeFillTint="75"/>
        <w:tcBorders/>
      </w:tcPr>
    </w:tblStylePr>
    <w:tblStylePr w:type="band1Vert">
      <w:pPr>
        <w:pBdr/>
        <w:spacing/>
        <w:ind/>
      </w:pPr>
      <w:tblPr>
        <w:tblBorders/>
      </w:tblPr>
      <w:tcPr>
        <w:shd w:val="clear" w:color="aec4e0"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4f81bd" w:fill="4f81bd" w:themeFill="accent1"/>
        <w:tcBorders/>
      </w:tcPr>
    </w:tblStylePr>
    <w:tblStylePr w:type="firstRow">
      <w:rPr>
        <w:b/>
        <w:sz w:val="22"/>
      </w:rPr>
      <w:pPr>
        <w:pBdr/>
        <w:spacing/>
        <w:ind/>
      </w:pPr>
      <w:tblPr>
        <w:tblBorders/>
      </w:tblPr>
      <w:tcPr>
        <w:shd w:val="clear" w:color="4f81bd" w:fill="4f81bd" w:themeFill="accent1"/>
        <w:tcBorders/>
      </w:tcPr>
    </w:tblStylePr>
    <w:tblStylePr w:type="lastCol">
      <w:rPr>
        <w:b/>
        <w:sz w:val="22"/>
      </w:rPr>
      <w:pPr>
        <w:pBdr/>
        <w:spacing/>
        <w:ind/>
      </w:pPr>
      <w:tblPr>
        <w:tblBorders/>
      </w:tblPr>
      <w:tcPr>
        <w:shd w:val="clear" w:color="4f81bd" w:fill="4f81bd" w:themeFill="accent1"/>
        <w:tcBorders/>
      </w:tcPr>
    </w:tblStylePr>
    <w:tblStylePr w:type="lastRow">
      <w:rPr>
        <w:b/>
        <w:sz w:val="22"/>
      </w:rPr>
      <w:pPr>
        <w:pBdr/>
        <w:spacing/>
        <w:ind/>
      </w:pPr>
      <w:tblPr>
        <w:tblBorders/>
      </w:tblPr>
      <w:tcPr>
        <w:shd w:val="clear" w:color="4f81bd"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1" w:customStyle="1">
    <w:name w:val="Grid Table 5 Dark - Accent 2"/>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e2aead" w:fill="e2aead" w:themeFill="accent2" w:themeFillTint="75"/>
        <w:tcBorders/>
      </w:tcPr>
    </w:tblStylePr>
    <w:tblStylePr w:type="band1Vert">
      <w:pPr>
        <w:pBdr/>
        <w:spacing/>
        <w:ind/>
      </w:pPr>
      <w:tblPr>
        <w:tblBorders/>
      </w:tblPr>
      <w:tcPr>
        <w:shd w:val="clear" w:color="e2aead"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c0504d" w:fill="c0504d" w:themeFill="accent2"/>
        <w:tcBorders/>
      </w:tcPr>
    </w:tblStylePr>
    <w:tblStylePr w:type="firstRow">
      <w:rPr>
        <w:b/>
        <w:sz w:val="22"/>
      </w:rPr>
      <w:pPr>
        <w:pBdr/>
        <w:spacing/>
        <w:ind/>
      </w:pPr>
      <w:tblPr>
        <w:tblBorders/>
      </w:tblPr>
      <w:tcPr>
        <w:shd w:val="clear" w:color="c0504d" w:fill="c0504d" w:themeFill="accent2"/>
        <w:tcBorders/>
      </w:tcPr>
    </w:tblStylePr>
    <w:tblStylePr w:type="lastCol">
      <w:rPr>
        <w:b/>
        <w:sz w:val="22"/>
      </w:rPr>
      <w:pPr>
        <w:pBdr/>
        <w:spacing/>
        <w:ind/>
      </w:pPr>
      <w:tblPr>
        <w:tblBorders/>
      </w:tblPr>
      <w:tcPr>
        <w:shd w:val="clear" w:color="c0504d" w:fill="c0504d" w:themeFill="accent2"/>
        <w:tcBorders/>
      </w:tcPr>
    </w:tblStylePr>
    <w:tblStylePr w:type="lastRow">
      <w:rPr>
        <w:b/>
        <w:sz w:val="22"/>
      </w:rPr>
      <w:pPr>
        <w:pBdr/>
        <w:spacing/>
        <w:ind/>
      </w:pPr>
      <w:tblPr>
        <w:tblBorders/>
      </w:tblPr>
      <w:tcPr>
        <w:shd w:val="clear" w:color="c0504d"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2" w:customStyle="1">
    <w:name w:val="Grid Table 5 Dark - Accent 3"/>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d0dfb2" w:fill="d0dfb2" w:themeFill="accent3" w:themeFillTint="75"/>
        <w:tcBorders/>
      </w:tcPr>
    </w:tblStylePr>
    <w:tblStylePr w:type="band1Vert">
      <w:pPr>
        <w:pBdr/>
        <w:spacing/>
        <w:ind/>
      </w:pPr>
      <w:tblPr>
        <w:tblBorders/>
      </w:tblPr>
      <w:tcPr>
        <w:shd w:val="clear" w:color="d0dfb2"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9bbb59" w:fill="9bbb59" w:themeFill="accent3"/>
        <w:tcBorders/>
      </w:tcPr>
    </w:tblStylePr>
    <w:tblStylePr w:type="firstRow">
      <w:rPr>
        <w:b/>
        <w:sz w:val="22"/>
      </w:rPr>
      <w:pPr>
        <w:pBdr/>
        <w:spacing/>
        <w:ind/>
      </w:pPr>
      <w:tblPr>
        <w:tblBorders/>
      </w:tblPr>
      <w:tcPr>
        <w:shd w:val="clear" w:color="9bbb59" w:fill="9bbb59" w:themeFill="accent3"/>
        <w:tcBorders/>
      </w:tcPr>
    </w:tblStylePr>
    <w:tblStylePr w:type="lastCol">
      <w:rPr>
        <w:b/>
        <w:sz w:val="22"/>
      </w:rPr>
      <w:pPr>
        <w:pBdr/>
        <w:spacing/>
        <w:ind/>
      </w:pPr>
      <w:tblPr>
        <w:tblBorders/>
      </w:tblPr>
      <w:tcPr>
        <w:shd w:val="clear" w:color="9bbb59" w:fill="9bbb59" w:themeFill="accent3"/>
        <w:tcBorders/>
      </w:tcPr>
    </w:tblStylePr>
    <w:tblStylePr w:type="lastRow">
      <w:rPr>
        <w:b/>
        <w:sz w:val="22"/>
      </w:rPr>
      <w:pPr>
        <w:pBdr/>
        <w:spacing/>
        <w:ind/>
      </w:pPr>
      <w:tblPr>
        <w:tblBorders/>
      </w:tblPr>
      <w:tcPr>
        <w:shd w:val="clear" w:color="9bbb59"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3" w:customStyle="1">
    <w:name w:val="Grid Table 5 Dark- Accent 4"/>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c4b7d4" w:fill="c4b7d4" w:themeFill="accent4" w:themeFillTint="75"/>
        <w:tcBorders/>
      </w:tcPr>
    </w:tblStylePr>
    <w:tblStylePr w:type="band1Vert">
      <w:pPr>
        <w:pBdr/>
        <w:spacing/>
        <w:ind/>
      </w:pPr>
      <w:tblPr>
        <w:tblBorders/>
      </w:tblPr>
      <w:tcPr>
        <w:shd w:val="clear" w:color="c4b7d4"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8064a2" w:fill="8064a2" w:themeFill="accent4"/>
        <w:tcBorders/>
      </w:tcPr>
    </w:tblStylePr>
    <w:tblStylePr w:type="firstRow">
      <w:rPr>
        <w:b/>
        <w:sz w:val="22"/>
      </w:rPr>
      <w:pPr>
        <w:pBdr/>
        <w:spacing/>
        <w:ind/>
      </w:pPr>
      <w:tblPr>
        <w:tblBorders/>
      </w:tblPr>
      <w:tcPr>
        <w:shd w:val="clear" w:color="8064a2" w:fill="8064a2" w:themeFill="accent4"/>
        <w:tcBorders/>
      </w:tcPr>
    </w:tblStylePr>
    <w:tblStylePr w:type="lastCol">
      <w:rPr>
        <w:b/>
        <w:sz w:val="22"/>
      </w:rPr>
      <w:pPr>
        <w:pBdr/>
        <w:spacing/>
        <w:ind/>
      </w:pPr>
      <w:tblPr>
        <w:tblBorders/>
      </w:tblPr>
      <w:tcPr>
        <w:shd w:val="clear" w:color="8064a2" w:fill="8064a2" w:themeFill="accent4"/>
        <w:tcBorders/>
      </w:tcPr>
    </w:tblStylePr>
    <w:tblStylePr w:type="lastRow">
      <w:rPr>
        <w:b/>
        <w:sz w:val="22"/>
      </w:rPr>
      <w:pPr>
        <w:pBdr/>
        <w:spacing/>
        <w:ind/>
      </w:pPr>
      <w:tblPr>
        <w:tblBorders/>
      </w:tblPr>
      <w:tcPr>
        <w:shd w:val="clear" w:color="8064a2"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4" w:customStyle="1">
    <w:name w:val="Grid Table 5 Dark - Accent 5"/>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cd8e4" w:fill="acd8e4" w:themeFill="accent5" w:themeFillTint="75"/>
        <w:tcBorders/>
      </w:tcPr>
    </w:tblStylePr>
    <w:tblStylePr w:type="band1Vert">
      <w:pPr>
        <w:pBdr/>
        <w:spacing/>
        <w:ind/>
      </w:pPr>
      <w:tblPr>
        <w:tblBorders/>
      </w:tblPr>
      <w:tcPr>
        <w:shd w:val="clear" w:color="acd8e4"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4bacc6" w:fill="4bacc6" w:themeFill="accent5"/>
        <w:tcBorders/>
      </w:tcPr>
    </w:tblStylePr>
    <w:tblStylePr w:type="firstRow">
      <w:rPr>
        <w:b/>
        <w:sz w:val="22"/>
      </w:rPr>
      <w:pPr>
        <w:pBdr/>
        <w:spacing/>
        <w:ind/>
      </w:pPr>
      <w:tblPr>
        <w:tblBorders/>
      </w:tblPr>
      <w:tcPr>
        <w:shd w:val="clear" w:color="4bacc6" w:fill="4bacc6" w:themeFill="accent5"/>
        <w:tcBorders/>
      </w:tcPr>
    </w:tblStylePr>
    <w:tblStylePr w:type="lastCol">
      <w:rPr>
        <w:b/>
        <w:sz w:val="22"/>
      </w:rPr>
      <w:pPr>
        <w:pBdr/>
        <w:spacing/>
        <w:ind/>
      </w:pPr>
      <w:tblPr>
        <w:tblBorders/>
      </w:tblPr>
      <w:tcPr>
        <w:shd w:val="clear" w:color="4bacc6" w:fill="4bacc6" w:themeFill="accent5"/>
        <w:tcBorders/>
      </w:tcPr>
    </w:tblStylePr>
    <w:tblStylePr w:type="lastRow">
      <w:rPr>
        <w:b/>
        <w:sz w:val="22"/>
      </w:rPr>
      <w:pPr>
        <w:pBdr/>
        <w:spacing/>
        <w:ind/>
      </w:pPr>
      <w:tblPr>
        <w:tblBorders/>
      </w:tblPr>
      <w:tcPr>
        <w:shd w:val="clear" w:color="4bacc6"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5" w:customStyle="1">
    <w:name w:val="Grid Table 5 Dark - Accent 6"/>
    <w:basedOn w:val="115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bceaa" w:fill="fbceaa" w:themeFill="accent6" w:themeFillTint="75"/>
        <w:tcBorders/>
      </w:tcPr>
    </w:tblStylePr>
    <w:tblStylePr w:type="band1Vert">
      <w:pPr>
        <w:pBdr/>
        <w:spacing/>
        <w:ind/>
      </w:pPr>
      <w:tblPr>
        <w:tblBorders/>
      </w:tblPr>
      <w:tcPr>
        <w:shd w:val="clear" w:color="fbceaa"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79646" w:fill="f79646" w:themeFill="accent6"/>
        <w:tcBorders/>
      </w:tcPr>
    </w:tblStylePr>
    <w:tblStylePr w:type="firstRow">
      <w:rPr>
        <w:b/>
        <w:sz w:val="22"/>
      </w:rPr>
      <w:pPr>
        <w:pBdr/>
        <w:spacing/>
        <w:ind/>
      </w:pPr>
      <w:tblPr>
        <w:tblBorders/>
      </w:tblPr>
      <w:tcPr>
        <w:shd w:val="clear" w:color="f79646" w:fill="f79646" w:themeFill="accent6"/>
        <w:tcBorders/>
      </w:tcPr>
    </w:tblStylePr>
    <w:tblStylePr w:type="lastCol">
      <w:rPr>
        <w:b/>
        <w:sz w:val="22"/>
      </w:rPr>
      <w:pPr>
        <w:pBdr/>
        <w:spacing/>
        <w:ind/>
      </w:pPr>
      <w:tblPr>
        <w:tblBorders/>
      </w:tblPr>
      <w:tcPr>
        <w:shd w:val="clear" w:color="f79646" w:fill="f79646" w:themeFill="accent6"/>
        <w:tcBorders/>
      </w:tcPr>
    </w:tblStylePr>
    <w:tblStylePr w:type="lastRow">
      <w:rPr>
        <w:b/>
        <w:sz w:val="22"/>
      </w:rPr>
      <w:pPr>
        <w:pBdr/>
        <w:spacing/>
        <w:ind/>
      </w:pPr>
      <w:tblPr>
        <w:tblBorders/>
      </w:tblPr>
      <w:tcPr>
        <w:shd w:val="clear" w:color="f7964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6">
    <w:name w:val="Grid Table 6 Colorful"/>
    <w:basedOn w:val="1153"/>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cbcbcb" w:fill="cbcbcb" w:themeFill="text1" w:themeFillTint="34"/>
        <w:tcBorders/>
      </w:tcPr>
    </w:tblStylePr>
    <w:tblStylePr w:type="band1Vert">
      <w:pPr>
        <w:pBdr/>
        <w:spacing/>
        <w:ind/>
      </w:pPr>
      <w:tblPr>
        <w:tblBorders/>
      </w:tblPr>
      <w:tcPr>
        <w:shd w:val="clear" w:color="cbcbcb" w:fill="cbcbcb" w:themeFill="text1" w:themeFillTint="34"/>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7f7f7f" w:themeColor="text1"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7" w:customStyle="1">
    <w:name w:val="Grid Table 6 Colorful - Accent 1"/>
    <w:basedOn w:val="1153"/>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color w:val="3e6da5" w:themeColor="accent1" w:themeTint="80" w:themeShade="95"/>
        <w:sz w:val="22"/>
      </w:rPr>
      <w:pPr>
        <w:pBdr/>
        <w:spacing/>
        <w:ind/>
      </w:pPr>
      <w:tblPr>
        <w:tblBorders/>
      </w:tblPr>
      <w:tcPr>
        <w:shd w:val="clear" w:color="dae5f1" w:fill="dae5f1" w:themeFill="accent1" w:themeFillTint="34"/>
        <w:tcBorders/>
      </w:tcPr>
    </w:tblStylePr>
    <w:tblStylePr w:type="band1Vert">
      <w:pPr>
        <w:pBdr/>
        <w:spacing/>
        <w:ind/>
      </w:pPr>
      <w:tblPr>
        <w:tblBorders/>
      </w:tblPr>
      <w:tcPr>
        <w:shd w:val="clear" w:color="dae5f1" w:fill="dae5f1" w:themeFill="accent1" w:themeFillTint="34"/>
        <w:tcBorders/>
      </w:tcPr>
    </w:tblStylePr>
    <w:tblStylePr w:type="band2Horz">
      <w:rPr>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a6bfdd" w:themeColor="accent1"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8" w:customStyle="1">
    <w:name w:val="Grid Table 6 Colorful - Accent 2"/>
    <w:basedOn w:val="115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color w:val="9f3a38" w:themeColor="accent2" w:themeTint="97" w:themeShade="95"/>
        <w:sz w:val="22"/>
      </w:rPr>
      <w:pPr>
        <w:pBdr/>
        <w:spacing/>
        <w:ind/>
      </w:pPr>
      <w:tblPr>
        <w:tblBorders/>
      </w:tblPr>
      <w:tcPr>
        <w:shd w:val="clear" w:color="f2dcdc" w:fill="f2dcdc" w:themeFill="accent2" w:themeFillTint="32"/>
        <w:tcBorders/>
      </w:tcPr>
    </w:tblStylePr>
    <w:tblStylePr w:type="band1Vert">
      <w:pPr>
        <w:pBdr/>
        <w:spacing/>
        <w:ind/>
      </w:pPr>
      <w:tblPr>
        <w:tblBorders/>
      </w:tblPr>
      <w:tcPr>
        <w:shd w:val="clear" w:color="f2dcdc" w:fill="f2dcdc" w:themeFill="accent2" w:themeFillTint="32"/>
        <w:tcBorders/>
      </w:tcPr>
    </w:tblStylePr>
    <w:tblStylePr w:type="band2Horz">
      <w:rPr>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d99695" w:themeColor="accent2"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9" w:customStyle="1">
    <w:name w:val="Grid Table 6 Colorful - Accent 3"/>
    <w:basedOn w:val="1153"/>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color w:val="5c732f" w:themeColor="accent3" w:themeTint="FE" w:themeShade="95"/>
        <w:sz w:val="22"/>
      </w:rPr>
      <w:pPr>
        <w:pBdr/>
        <w:spacing/>
        <w:ind/>
      </w:pPr>
      <w:tblPr>
        <w:tblBorders/>
      </w:tblPr>
      <w:tcPr>
        <w:shd w:val="clear" w:color="eaf1dc" w:fill="eaf1dc" w:themeFill="accent3" w:themeFillTint="34"/>
        <w:tcBorders/>
      </w:tcPr>
    </w:tblStylePr>
    <w:tblStylePr w:type="band1Vert">
      <w:pPr>
        <w:pBdr/>
        <w:spacing/>
        <w:ind/>
      </w:pPr>
      <w:tblPr>
        <w:tblBorders/>
      </w:tblPr>
      <w:tcPr>
        <w:shd w:val="clear" w:color="eaf1dc" w:fill="eaf1dc" w:themeFill="accent3" w:themeFillTint="34"/>
        <w:tcBorders/>
      </w:tcPr>
    </w:tblStylePr>
    <w:tblStylePr w:type="band2Horz">
      <w:rPr>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9abb59" w:themeColor="accent3"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0" w:customStyle="1">
    <w:name w:val="Grid Table 6 Colorful - Accent 4"/>
    <w:basedOn w:val="115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color w:val="664f84" w:themeColor="accent4" w:themeTint="9A" w:themeShade="95"/>
        <w:sz w:val="22"/>
      </w:rPr>
      <w:pPr>
        <w:pBdr/>
        <w:spacing/>
        <w:ind/>
      </w:pPr>
      <w:tblPr>
        <w:tblBorders/>
      </w:tblPr>
      <w:tcPr>
        <w:shd w:val="clear" w:color="e5dfec" w:fill="e5dfec" w:themeFill="accent4" w:themeFillTint="34"/>
        <w:tcBorders/>
      </w:tcPr>
    </w:tblStylePr>
    <w:tblStylePr w:type="band1Vert">
      <w:pPr>
        <w:pBdr/>
        <w:spacing/>
        <w:ind/>
      </w:pPr>
      <w:tblPr>
        <w:tblBorders/>
      </w:tblPr>
      <w:tcPr>
        <w:shd w:val="clear" w:color="e5dfec" w:fill="e5dfec" w:themeFill="accent4" w:themeFillTint="34"/>
        <w:tcBorders/>
      </w:tcPr>
    </w:tblStylePr>
    <w:tblStylePr w:type="band2Horz">
      <w:rPr>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b2a1c6" w:themeColor="accent4"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1" w:customStyle="1">
    <w:name w:val="Grid Table 6 Colorful - Accent 5"/>
    <w:basedOn w:val="1153"/>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color w:val="266879" w:themeColor="accent5" w:themeShade="95"/>
        <w:sz w:val="22"/>
      </w:rPr>
      <w:pPr>
        <w:pBdr/>
        <w:spacing/>
        <w:ind/>
      </w:pPr>
      <w:tblPr>
        <w:tblBorders/>
      </w:tblPr>
      <w:tcPr>
        <w:shd w:val="clear" w:color="daeef3" w:fill="daeef3" w:themeFill="accent5" w:themeFillTint="34"/>
        <w:tcBorders/>
      </w:tcPr>
    </w:tblStylePr>
    <w:tblStylePr w:type="band1Vert">
      <w:pPr>
        <w:pBdr/>
        <w:spacing/>
        <w:ind/>
      </w:pPr>
      <w:tblPr>
        <w:tblBorders/>
      </w:tblPr>
      <w:tcPr>
        <w:shd w:val="clear" w:color="daeef3" w:fill="daeef3" w:themeFill="accent5" w:themeFillTint="34"/>
        <w:tcBorders/>
      </w:tcPr>
    </w:tblStylePr>
    <w:tblStylePr w:type="band2Horz">
      <w:rPr>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4bacc6"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2" w:customStyle="1">
    <w:name w:val="Grid Table 6 Colorful - Accent 6"/>
    <w:basedOn w:val="1153"/>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color w:val="266879" w:themeColor="accent5" w:themeShade="95"/>
        <w:sz w:val="22"/>
      </w:rPr>
      <w:pPr>
        <w:pBdr/>
        <w:spacing/>
        <w:ind/>
      </w:pPr>
      <w:tblPr>
        <w:tblBorders/>
      </w:tblPr>
      <w:tcPr>
        <w:shd w:val="clear" w:color="fde9d8" w:fill="fde9d8" w:themeFill="accent6" w:themeFillTint="34"/>
        <w:tcBorders/>
      </w:tcPr>
    </w:tblStylePr>
    <w:tblStylePr w:type="band1Vert">
      <w:pPr>
        <w:pBdr/>
        <w:spacing/>
        <w:ind/>
      </w:pPr>
      <w:tblPr>
        <w:tblBorders/>
      </w:tblPr>
      <w:tcPr>
        <w:shd w:val="clear" w:color="fde9d8" w:fill="fde9d8" w:themeFill="accent6" w:themeFillTint="34"/>
        <w:tcBorders/>
      </w:tcPr>
    </w:tblStylePr>
    <w:tblStylePr w:type="band2Horz">
      <w:rPr>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f79646"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3">
    <w:name w:val="Grid Table 7 Colorful"/>
    <w:basedOn w:val="1153"/>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2f2f2" w:fill="f2f2f2" w:themeFill="text1" w:themeFillTint="00"/>
        <w:tcBorders/>
      </w:tcPr>
    </w:tblStylePr>
    <w:tblStylePr w:type="band1Vert">
      <w:pPr>
        <w:pBdr/>
        <w:spacing/>
        <w:ind/>
      </w:pPr>
      <w:tblPr>
        <w:tblBorders/>
      </w:tblPr>
      <w:tcPr>
        <w:shd w:val="clear" w:color="f2f2f2" w:fill="f2f2f2" w:themeFill="text1" w:themeFillTint="0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sz="4" w:space="0"/>
        </w:tcBorders>
      </w:tcPr>
    </w:tblStylePr>
    <w:tblStylePr w:type="firstRow">
      <w:rPr>
        <w:b/>
        <w:color w:val="4a4a4a" w:themeColor="text1" w:themeTint="80" w:themeShade="95"/>
        <w:sz w:val="22"/>
      </w:rPr>
      <w:pPr>
        <w:pBdr/>
        <w:spacing/>
        <w:ind/>
      </w:pPr>
      <w:tblPr>
        <w:tblBorders/>
      </w:tblPr>
      <w:tcPr>
        <w:shd w:val="clear" w:color="ffffff" w:fill="ffffff" w:themeFill="light1"/>
        <w:tcBorders>
          <w:top w:val="none" w:color="000000" w:sz="0" w:space="0"/>
          <w:left w:val="none" w:color="000000" w:sz="0" w:space="0"/>
          <w:bottom w:val="single" w:color="7f7f7f" w:themeColor="text1" w:sz="4" w:space="0"/>
          <w:right w:val="none" w:color="000000" w:sz="0" w:space="0"/>
        </w:tcBorders>
      </w:tcPr>
    </w:tblStylePr>
    <w:tblStylePr w:type="lastCol">
      <w:rPr>
        <w:i/>
        <w:color w:val="4a4a4a" w:themeColor="text1" w:themeTint="80" w:themeShade="95"/>
        <w:sz w:val="22"/>
      </w:rPr>
      <w:pPr>
        <w:pBdr/>
        <w:spacing/>
        <w:ind/>
      </w:pPr>
      <w:tblPr>
        <w:tblBorders/>
      </w:tblPr>
      <w:tcPr>
        <w:shd w:val="clear" w:color="ffffff" w:fill="auto"/>
        <w:tcBorders>
          <w:top w:val="none" w:color="000000" w:sz="0" w:space="0"/>
          <w:left w:val="single" w:color="7f7f7f" w:themeColor="text1" w:sz="4" w:space="0"/>
          <w:bottom w:val="none" w:color="000000" w:sz="0" w:space="0"/>
          <w:right w:val="none" w:color="000000" w:sz="0" w:space="0"/>
        </w:tcBorders>
      </w:tcPr>
    </w:tblStylePr>
    <w:tblStylePr w:type="lastRow">
      <w:rPr>
        <w:b/>
        <w:color w:val="4a4a4a" w:themeColor="text1" w:themeTint="80" w:themeShade="95"/>
        <w:sz w:val="22"/>
      </w:rPr>
      <w:pPr>
        <w:pBdr/>
        <w:spacing/>
        <w:ind/>
      </w:pPr>
      <w:tblPr>
        <w:tblBorders/>
      </w:tblPr>
      <w:tcPr>
        <w:shd w:val="clear" w:color="ffffff" w:fill="ffffff" w:themeFill="light1"/>
        <w:tcBorders>
          <w:top w:val="single" w:color="7f7f7f" w:themeColor="tex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4" w:customStyle="1">
    <w:name w:val="Grid Table 7 Colorful - Accent 1"/>
    <w:basedOn w:val="1153"/>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color w:val="3e6da5" w:themeColor="accent1" w:themeTint="80" w:themeShade="95"/>
        <w:sz w:val="22"/>
      </w:rPr>
      <w:pPr>
        <w:pBdr/>
        <w:spacing/>
        <w:ind/>
      </w:pPr>
      <w:tblPr>
        <w:tblBorders/>
      </w:tblPr>
      <w:tcPr>
        <w:shd w:val="clear" w:color="dae5f1" w:fill="dae5f1" w:themeFill="accent1" w:themeFillTint="34"/>
        <w:tcBorders/>
      </w:tcPr>
    </w:tblStylePr>
    <w:tblStylePr w:type="band1Vert">
      <w:pPr>
        <w:pBdr/>
        <w:spacing/>
        <w:ind/>
      </w:pPr>
      <w:tblPr>
        <w:tblBorders/>
      </w:tblPr>
      <w:tcPr>
        <w:shd w:val="clear" w:color="dae5f1" w:fill="dae5f1" w:themeFill="accent1" w:themeFillTint="34"/>
        <w:tcBorders/>
      </w:tcPr>
    </w:tblStylePr>
    <w:tblStylePr w:type="band2Horz">
      <w:rPr>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e6da5"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bfdd" w:themeColor="accent1" w:sz="4" w:space="0"/>
        </w:tcBorders>
      </w:tcPr>
    </w:tblStylePr>
    <w:tblStylePr w:type="firstRow">
      <w:rPr>
        <w:b/>
        <w:color w:val="3e6da5" w:themeColor="accent1" w:themeTint="80" w:themeShade="95"/>
        <w:sz w:val="22"/>
      </w:rPr>
      <w:pPr>
        <w:pBdr/>
        <w:spacing/>
        <w:ind/>
      </w:pPr>
      <w:tblPr>
        <w:tblBorders/>
      </w:tblPr>
      <w:tcPr>
        <w:shd w:val="clear" w:color="ffffff" w:fill="ffffff" w:themeFill="light1"/>
        <w:tcBorders>
          <w:top w:val="none" w:color="000000" w:sz="0" w:space="0"/>
          <w:left w:val="none" w:color="000000" w:sz="0" w:space="0"/>
          <w:bottom w:val="single" w:color="a6bfdd" w:themeColor="accent1" w:sz="4" w:space="0"/>
          <w:right w:val="none" w:color="000000" w:sz="0" w:space="0"/>
        </w:tcBorders>
      </w:tcPr>
    </w:tblStylePr>
    <w:tblStylePr w:type="lastCol">
      <w:rPr>
        <w:i/>
        <w:color w:val="3e6da5" w:themeColor="accent1" w:themeTint="80" w:themeShade="95"/>
        <w:sz w:val="22"/>
      </w:rPr>
      <w:pPr>
        <w:pBdr/>
        <w:spacing/>
        <w:ind/>
      </w:pPr>
      <w:tblPr>
        <w:tblBorders/>
      </w:tblPr>
      <w:tcPr>
        <w:shd w:val="clear" w:color="ffffff" w:fill="auto"/>
        <w:tcBorders>
          <w:top w:val="none" w:color="000000" w:sz="0" w:space="0"/>
          <w:left w:val="single" w:color="a6bfdd" w:themeColor="accent1" w:sz="4" w:space="0"/>
          <w:bottom w:val="none" w:color="000000" w:sz="0" w:space="0"/>
          <w:right w:val="none" w:color="000000" w:sz="0" w:space="0"/>
        </w:tcBorders>
      </w:tcPr>
    </w:tblStylePr>
    <w:tblStylePr w:type="lastRow">
      <w:rPr>
        <w:b/>
        <w:color w:val="3e6da5" w:themeColor="accent1" w:themeTint="80" w:themeShade="95"/>
        <w:sz w:val="22"/>
      </w:rPr>
      <w:pPr>
        <w:pBdr/>
        <w:spacing/>
        <w:ind/>
      </w:pPr>
      <w:tblPr>
        <w:tblBorders/>
      </w:tblPr>
      <w:tcPr>
        <w:shd w:val="clear" w:color="ffffff" w:fill="ffffff" w:themeFill="light1"/>
        <w:tcBorders>
          <w:top w:val="single" w:color="a6bfd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5" w:customStyle="1">
    <w:name w:val="Grid Table 7 Colorful - Accent 2"/>
    <w:basedOn w:val="1153"/>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color w:val="9f3a38" w:themeColor="accent2" w:themeTint="97" w:themeShade="95"/>
        <w:sz w:val="22"/>
      </w:rPr>
      <w:pPr>
        <w:pBdr/>
        <w:spacing/>
        <w:ind/>
      </w:pPr>
      <w:tblPr>
        <w:tblBorders/>
      </w:tblPr>
      <w:tcPr>
        <w:shd w:val="clear" w:color="f2dcdc" w:fill="f2dcdc" w:themeFill="accent2" w:themeFillTint="32"/>
        <w:tcBorders/>
      </w:tcPr>
    </w:tblStylePr>
    <w:tblStylePr w:type="band1Vert">
      <w:pPr>
        <w:pBdr/>
        <w:spacing/>
        <w:ind/>
      </w:pPr>
      <w:tblPr>
        <w:tblBorders/>
      </w:tblPr>
      <w:tcPr>
        <w:shd w:val="clear" w:color="f2dcdc" w:fill="f2dcdc" w:themeFill="accent2" w:themeFillTint="32"/>
        <w:tcBorders/>
      </w:tcPr>
    </w:tblStylePr>
    <w:tblStylePr w:type="band2Horz">
      <w:rPr>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f3a38"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sz="4" w:space="0"/>
        </w:tcBorders>
      </w:tcPr>
    </w:tblStylePr>
    <w:tblStylePr w:type="firstRow">
      <w:rPr>
        <w:b/>
        <w:color w:val="9f3a38" w:themeColor="accent2" w:themeTint="97" w:themeShade="95"/>
        <w:sz w:val="22"/>
      </w:rPr>
      <w:pPr>
        <w:pBdr/>
        <w:spacing/>
        <w:ind/>
      </w:pPr>
      <w:tblPr>
        <w:tblBorders/>
      </w:tblPr>
      <w:tcPr>
        <w:shd w:val="clear" w:color="ffffff" w:fill="ffffff" w:themeFill="light1"/>
        <w:tcBorders>
          <w:top w:val="none" w:color="000000" w:sz="0" w:space="0"/>
          <w:left w:val="none" w:color="000000" w:sz="0" w:space="0"/>
          <w:bottom w:val="single" w:color="d99695" w:themeColor="accent2" w:sz="4" w:space="0"/>
          <w:right w:val="none" w:color="000000" w:sz="0" w:space="0"/>
        </w:tcBorders>
      </w:tcPr>
    </w:tblStylePr>
    <w:tblStylePr w:type="lastCol">
      <w:rPr>
        <w:i/>
        <w:color w:val="9f3a38" w:themeColor="accent2" w:themeTint="97" w:themeShade="95"/>
        <w:sz w:val="22"/>
      </w:rPr>
      <w:pPr>
        <w:pBdr/>
        <w:spacing/>
        <w:ind/>
      </w:pPr>
      <w:tblPr>
        <w:tblBorders/>
      </w:tblPr>
      <w:tcPr>
        <w:shd w:val="clear" w:color="ffffff" w:fill="auto"/>
        <w:tcBorders>
          <w:top w:val="none" w:color="000000" w:sz="0" w:space="0"/>
          <w:left w:val="single" w:color="d99695" w:themeColor="accent2" w:sz="4" w:space="0"/>
          <w:bottom w:val="none" w:color="000000" w:sz="0" w:space="0"/>
          <w:right w:val="none" w:color="000000" w:sz="0" w:space="0"/>
        </w:tcBorders>
      </w:tcPr>
    </w:tblStylePr>
    <w:tblStylePr w:type="lastRow">
      <w:rPr>
        <w:b/>
        <w:color w:val="9f3a38" w:themeColor="accent2" w:themeTint="97" w:themeShade="95"/>
        <w:sz w:val="22"/>
      </w:rPr>
      <w:pPr>
        <w:pBdr/>
        <w:spacing/>
        <w:ind/>
      </w:pPr>
      <w:tblPr>
        <w:tblBorders/>
      </w:tblPr>
      <w:tcPr>
        <w:shd w:val="clear" w:color="ffffff" w:fill="ffffff" w:themeFill="light1"/>
        <w:tcBorders>
          <w:top w:val="single" w:color="d99695" w:themeColor="accent2"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6" w:customStyle="1">
    <w:name w:val="Grid Table 7 Colorful - Accent 3"/>
    <w:basedOn w:val="1153"/>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color w:val="5c732f" w:themeColor="accent3" w:themeTint="FE" w:themeShade="95"/>
        <w:sz w:val="22"/>
      </w:rPr>
      <w:pPr>
        <w:pBdr/>
        <w:spacing/>
        <w:ind/>
      </w:pPr>
      <w:tblPr>
        <w:tblBorders/>
      </w:tblPr>
      <w:tcPr>
        <w:shd w:val="clear" w:color="eaf1dc" w:fill="eaf1dc" w:themeFill="accent3" w:themeFillTint="34"/>
        <w:tcBorders/>
      </w:tcPr>
    </w:tblStylePr>
    <w:tblStylePr w:type="band1Vert">
      <w:pPr>
        <w:pBdr/>
        <w:spacing/>
        <w:ind/>
      </w:pPr>
      <w:tblPr>
        <w:tblBorders/>
      </w:tblPr>
      <w:tcPr>
        <w:shd w:val="clear" w:color="eaf1dc" w:fill="eaf1dc" w:themeFill="accent3" w:themeFillTint="34"/>
        <w:tcBorders/>
      </w:tcPr>
    </w:tblStylePr>
    <w:tblStylePr w:type="band2Horz">
      <w:rPr>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5c732f"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abb59" w:themeColor="accent3" w:sz="4" w:space="0"/>
        </w:tcBorders>
      </w:tcPr>
    </w:tblStylePr>
    <w:tblStylePr w:type="firstRow">
      <w:rPr>
        <w:b/>
        <w:color w:val="5c732f" w:themeColor="accent3" w:themeTint="FE" w:themeShade="95"/>
        <w:sz w:val="22"/>
      </w:rPr>
      <w:pPr>
        <w:pBdr/>
        <w:spacing/>
        <w:ind/>
      </w:pPr>
      <w:tblPr>
        <w:tblBorders/>
      </w:tblPr>
      <w:tcPr>
        <w:shd w:val="clear" w:color="ffffff" w:fill="ffffff" w:themeFill="light1"/>
        <w:tcBorders>
          <w:top w:val="none" w:color="000000" w:sz="0" w:space="0"/>
          <w:left w:val="none" w:color="000000" w:sz="0" w:space="0"/>
          <w:bottom w:val="single" w:color="9abb59" w:themeColor="accent3" w:sz="4" w:space="0"/>
          <w:right w:val="none" w:color="000000" w:sz="0" w:space="0"/>
        </w:tcBorders>
      </w:tcPr>
    </w:tblStylePr>
    <w:tblStylePr w:type="lastCol">
      <w:rPr>
        <w:i/>
        <w:color w:val="5c732f" w:themeColor="accent3" w:themeTint="FE" w:themeShade="95"/>
        <w:sz w:val="22"/>
      </w:rPr>
      <w:pPr>
        <w:pBdr/>
        <w:spacing/>
        <w:ind/>
      </w:pPr>
      <w:tblPr>
        <w:tblBorders/>
      </w:tblPr>
      <w:tcPr>
        <w:shd w:val="clear" w:color="ffffff" w:fill="auto"/>
        <w:tcBorders>
          <w:top w:val="none" w:color="000000" w:sz="0" w:space="0"/>
          <w:left w:val="single" w:color="9abb59" w:themeColor="accent3" w:sz="4" w:space="0"/>
          <w:bottom w:val="none" w:color="000000" w:sz="0" w:space="0"/>
          <w:right w:val="none" w:color="000000" w:sz="0" w:space="0"/>
        </w:tcBorders>
      </w:tcPr>
    </w:tblStylePr>
    <w:tblStylePr w:type="lastRow">
      <w:rPr>
        <w:b/>
        <w:color w:val="5c732f" w:themeColor="accent3" w:themeTint="FE" w:themeShade="95"/>
        <w:sz w:val="22"/>
      </w:rPr>
      <w:pPr>
        <w:pBdr/>
        <w:spacing/>
        <w:ind/>
      </w:pPr>
      <w:tblPr>
        <w:tblBorders/>
      </w:tblPr>
      <w:tcPr>
        <w:shd w:val="clear" w:color="ffffff" w:fill="ffffff" w:themeFill="light1"/>
        <w:tcBorders>
          <w:top w:val="single" w:color="9abb59" w:themeColor="accent3"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7" w:customStyle="1">
    <w:name w:val="Grid Table 7 Colorful - Accent 4"/>
    <w:basedOn w:val="1153"/>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color w:val="664f84" w:themeColor="accent4" w:themeTint="9A" w:themeShade="95"/>
        <w:sz w:val="22"/>
      </w:rPr>
      <w:pPr>
        <w:pBdr/>
        <w:spacing/>
        <w:ind/>
      </w:pPr>
      <w:tblPr>
        <w:tblBorders/>
      </w:tblPr>
      <w:tcPr>
        <w:shd w:val="clear" w:color="e5dfec" w:fill="e5dfec" w:themeFill="accent4" w:themeFillTint="34"/>
        <w:tcBorders/>
      </w:tcPr>
    </w:tblStylePr>
    <w:tblStylePr w:type="band1Vert">
      <w:pPr>
        <w:pBdr/>
        <w:spacing/>
        <w:ind/>
      </w:pPr>
      <w:tblPr>
        <w:tblBorders/>
      </w:tblPr>
      <w:tcPr>
        <w:shd w:val="clear" w:color="e5dfec" w:fill="e5dfec" w:themeFill="accent4" w:themeFillTint="34"/>
        <w:tcBorders/>
      </w:tcPr>
    </w:tblStylePr>
    <w:tblStylePr w:type="band2Horz">
      <w:rPr>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64f84"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sz="4" w:space="0"/>
        </w:tcBorders>
      </w:tcPr>
    </w:tblStylePr>
    <w:tblStylePr w:type="firstRow">
      <w:rPr>
        <w:b/>
        <w:color w:val="664f84" w:themeColor="accent4" w:themeTint="9A" w:themeShade="95"/>
        <w:sz w:val="22"/>
      </w:rPr>
      <w:pPr>
        <w:pBdr/>
        <w:spacing/>
        <w:ind/>
      </w:pPr>
      <w:tblPr>
        <w:tblBorders/>
      </w:tblPr>
      <w:tcPr>
        <w:shd w:val="clear" w:color="ffffff" w:fill="ffffff" w:themeFill="light1"/>
        <w:tcBorders>
          <w:top w:val="none" w:color="000000" w:sz="0" w:space="0"/>
          <w:left w:val="none" w:color="000000" w:sz="0" w:space="0"/>
          <w:bottom w:val="single" w:color="b2a1c6" w:themeColor="accent4" w:sz="4" w:space="0"/>
          <w:right w:val="none" w:color="000000" w:sz="0" w:space="0"/>
        </w:tcBorders>
      </w:tcPr>
    </w:tblStylePr>
    <w:tblStylePr w:type="lastCol">
      <w:rPr>
        <w:i/>
        <w:color w:val="664f84" w:themeColor="accent4" w:themeTint="9A" w:themeShade="95"/>
        <w:sz w:val="22"/>
      </w:rPr>
      <w:pPr>
        <w:pBdr/>
        <w:spacing/>
        <w:ind/>
      </w:pPr>
      <w:tblPr>
        <w:tblBorders/>
      </w:tblPr>
      <w:tcPr>
        <w:shd w:val="clear" w:color="ffffff" w:fill="auto"/>
        <w:tcBorders>
          <w:top w:val="none" w:color="000000" w:sz="0" w:space="0"/>
          <w:left w:val="single" w:color="b2a1c6" w:themeColor="accent4" w:sz="4" w:space="0"/>
          <w:bottom w:val="none" w:color="000000" w:sz="0" w:space="0"/>
          <w:right w:val="none" w:color="000000" w:sz="0" w:space="0"/>
        </w:tcBorders>
      </w:tcPr>
    </w:tblStylePr>
    <w:tblStylePr w:type="lastRow">
      <w:rPr>
        <w:b/>
        <w:color w:val="664f84" w:themeColor="accent4" w:themeTint="9A" w:themeShade="95"/>
        <w:sz w:val="22"/>
      </w:rPr>
      <w:pPr>
        <w:pBdr/>
        <w:spacing/>
        <w:ind/>
      </w:pPr>
      <w:tblPr>
        <w:tblBorders/>
      </w:tblPr>
      <w:tcPr>
        <w:shd w:val="clear" w:color="ffffff" w:fill="ffffff" w:themeFill="light1"/>
        <w:tcBorders>
          <w:top w:val="single" w:color="b2a1c6" w:themeColor="accent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8" w:customStyle="1">
    <w:name w:val="Grid Table 7 Colorful - Accent 5"/>
    <w:basedOn w:val="1153"/>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color w:val="266879" w:themeColor="accent5" w:themeShade="95"/>
        <w:sz w:val="22"/>
      </w:rPr>
      <w:pPr>
        <w:pBdr/>
        <w:spacing/>
        <w:ind/>
      </w:pPr>
      <w:tblPr>
        <w:tblBorders/>
      </w:tblPr>
      <w:tcPr>
        <w:shd w:val="clear" w:color="daeef3" w:fill="daeef3" w:themeFill="accent5" w:themeFillTint="34"/>
        <w:tcBorders/>
      </w:tcPr>
    </w:tblStylePr>
    <w:tblStylePr w:type="band1Vert">
      <w:pPr>
        <w:pBdr/>
        <w:spacing/>
        <w:ind/>
      </w:pPr>
      <w:tblPr>
        <w:tblBorders/>
      </w:tblPr>
      <w:tcPr>
        <w:shd w:val="clear" w:color="daeef3" w:fill="daeef3" w:themeFill="accent5" w:themeFillTint="34"/>
        <w:tcBorders/>
      </w:tcPr>
    </w:tblStylePr>
    <w:tblStylePr w:type="band2Horz">
      <w:rPr>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66879"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9d0de" w:themeColor="accent5" w:sz="4" w:space="0"/>
        </w:tcBorders>
      </w:tcPr>
    </w:tblStylePr>
    <w:tblStylePr w:type="firstRow">
      <w:rPr>
        <w:b/>
        <w:color w:val="266879" w:themeColor="accent5" w:themeShade="95"/>
        <w:sz w:val="22"/>
      </w:rPr>
      <w:pPr>
        <w:pBdr/>
        <w:spacing/>
        <w:ind/>
      </w:pPr>
      <w:tblPr>
        <w:tblBorders/>
      </w:tblPr>
      <w:tcPr>
        <w:shd w:val="clear" w:color="ffffff" w:fill="ffffff" w:themeFill="light1"/>
        <w:tcBorders>
          <w:top w:val="none" w:color="000000" w:sz="0" w:space="0"/>
          <w:left w:val="none" w:color="000000" w:sz="0" w:space="0"/>
          <w:bottom w:val="single" w:color="99d0de" w:themeColor="accent5" w:sz="4" w:space="0"/>
          <w:right w:val="none" w:color="000000" w:sz="0" w:space="0"/>
        </w:tcBorders>
      </w:tcPr>
    </w:tblStylePr>
    <w:tblStylePr w:type="lastCol">
      <w:rPr>
        <w:i/>
        <w:color w:val="266879" w:themeColor="accent5" w:themeShade="95"/>
        <w:sz w:val="22"/>
      </w:rPr>
      <w:pPr>
        <w:pBdr/>
        <w:spacing/>
        <w:ind/>
      </w:pPr>
      <w:tblPr>
        <w:tblBorders/>
      </w:tblPr>
      <w:tcPr>
        <w:shd w:val="clear" w:color="ffffff" w:fill="auto"/>
        <w:tcBorders>
          <w:top w:val="none" w:color="000000" w:sz="0" w:space="0"/>
          <w:left w:val="single" w:color="99d0de" w:themeColor="accent5" w:sz="4" w:space="0"/>
          <w:bottom w:val="none" w:color="000000" w:sz="0" w:space="0"/>
          <w:right w:val="none" w:color="000000" w:sz="0" w:space="0"/>
        </w:tcBorders>
      </w:tcPr>
    </w:tblStylePr>
    <w:tblStylePr w:type="lastRow">
      <w:rPr>
        <w:b/>
        <w:color w:val="266879" w:themeColor="accent5" w:themeShade="95"/>
        <w:sz w:val="22"/>
      </w:rPr>
      <w:pPr>
        <w:pBdr/>
        <w:spacing/>
        <w:ind/>
      </w:pPr>
      <w:tblPr>
        <w:tblBorders/>
      </w:tblPr>
      <w:tcPr>
        <w:shd w:val="clear" w:color="ffffff" w:fill="ffffff" w:themeFill="light1"/>
        <w:tcBorders>
          <w:top w:val="single" w:color="99d0de" w:themeColor="accent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9" w:customStyle="1">
    <w:name w:val="Grid Table 7 Colorful - Accent 6"/>
    <w:basedOn w:val="1153"/>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color w:val="b25408" w:themeColor="accent6" w:themeShade="95"/>
        <w:sz w:val="22"/>
      </w:rPr>
      <w:pPr>
        <w:pBdr/>
        <w:spacing/>
        <w:ind/>
      </w:pPr>
      <w:tblPr>
        <w:tblBorders/>
      </w:tblPr>
      <w:tcPr>
        <w:shd w:val="clear" w:color="fde9d8" w:fill="fde9d8" w:themeFill="accent6" w:themeFillTint="34"/>
        <w:tcBorders/>
      </w:tcPr>
    </w:tblStylePr>
    <w:tblStylePr w:type="band1Vert">
      <w:pPr>
        <w:pBdr/>
        <w:spacing/>
        <w:ind/>
      </w:pPr>
      <w:tblPr>
        <w:tblBorders/>
      </w:tblPr>
      <w:tcPr>
        <w:shd w:val="clear" w:color="fde9d8" w:fill="fde9d8" w:themeFill="accent6" w:themeFillTint="34"/>
        <w:tcBorders/>
      </w:tcPr>
    </w:tblStylePr>
    <w:tblStylePr w:type="band2Horz">
      <w:rPr>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b25408"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396" w:themeColor="accent6" w:sz="4" w:space="0"/>
        </w:tcBorders>
      </w:tcPr>
    </w:tblStylePr>
    <w:tblStylePr w:type="firstRow">
      <w:rPr>
        <w:b/>
        <w:color w:val="b25408" w:themeColor="accent6" w:themeShade="95"/>
        <w:sz w:val="22"/>
      </w:rPr>
      <w:pPr>
        <w:pBdr/>
        <w:spacing/>
        <w:ind/>
      </w:pPr>
      <w:tblPr>
        <w:tblBorders/>
      </w:tblPr>
      <w:tcPr>
        <w:shd w:val="clear" w:color="ffffff" w:fill="ffffff" w:themeFill="light1"/>
        <w:tcBorders>
          <w:top w:val="none" w:color="000000" w:sz="0" w:space="0"/>
          <w:left w:val="none" w:color="000000" w:sz="0" w:space="0"/>
          <w:bottom w:val="single" w:color="fac396" w:themeColor="accent6" w:sz="4" w:space="0"/>
          <w:right w:val="none" w:color="000000" w:sz="0" w:space="0"/>
        </w:tcBorders>
      </w:tcPr>
    </w:tblStylePr>
    <w:tblStylePr w:type="lastCol">
      <w:rPr>
        <w:i/>
        <w:color w:val="b25408" w:themeColor="accent6" w:themeShade="95"/>
        <w:sz w:val="22"/>
      </w:rPr>
      <w:pPr>
        <w:pBdr/>
        <w:spacing/>
        <w:ind/>
      </w:pPr>
      <w:tblPr>
        <w:tblBorders/>
      </w:tblPr>
      <w:tcPr>
        <w:shd w:val="clear" w:color="ffffff" w:fill="auto"/>
        <w:tcBorders>
          <w:top w:val="none" w:color="000000" w:sz="0" w:space="0"/>
          <w:left w:val="single" w:color="fac396" w:themeColor="accent6" w:sz="4" w:space="0"/>
          <w:bottom w:val="none" w:color="000000" w:sz="0" w:space="0"/>
          <w:right w:val="none" w:color="000000" w:sz="0" w:space="0"/>
        </w:tcBorders>
      </w:tcPr>
    </w:tblStylePr>
    <w:tblStylePr w:type="lastRow">
      <w:rPr>
        <w:b/>
        <w:color w:val="b25408" w:themeColor="accent6" w:themeShade="95"/>
        <w:sz w:val="22"/>
      </w:rPr>
      <w:pPr>
        <w:pBdr/>
        <w:spacing/>
        <w:ind/>
      </w:pPr>
      <w:tblPr>
        <w:tblBorders/>
      </w:tblPr>
      <w:tcPr>
        <w:shd w:val="clear" w:color="ffffff" w:fill="ffffff" w:themeFill="light1"/>
        <w:tcBorders>
          <w:top w:val="single" w:color="fac396" w:themeColor="accent6"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0">
    <w:name w:val="List Table 1 Light"/>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bfbfbf" w:fill="bfbfbf" w:themeFill="text1" w:themeFillTint="40"/>
        <w:tcBorders/>
      </w:tcPr>
    </w:tblStylePr>
    <w:tblStylePr w:type="band1Vert">
      <w:pPr>
        <w:pBdr/>
        <w:spacing/>
        <w:ind/>
      </w:pPr>
      <w:tblPr>
        <w:tblBorders/>
      </w:tblPr>
      <w:tcPr>
        <w:shd w:val="clear" w:color="bfbfb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1" w:customStyle="1">
    <w:name w:val="List Table 1 Light - Accent 1"/>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d2dfee" w:fill="d2dfee" w:themeFill="accent1" w:themeFillTint="40"/>
        <w:tcBorders/>
      </w:tcPr>
    </w:tblStylePr>
    <w:tblStylePr w:type="band1Vert">
      <w:pPr>
        <w:pBdr/>
        <w:spacing/>
        <w:ind/>
      </w:pPr>
      <w:tblPr>
        <w:tblBorders/>
      </w:tblPr>
      <w:tcPr>
        <w:shd w:val="clear" w:color="d2dfee"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2" w:customStyle="1">
    <w:name w:val="List Table 1 Light - Accent 2"/>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efd2d2" w:fill="efd2d2" w:themeFill="accent2" w:themeFillTint="40"/>
        <w:tcBorders/>
      </w:tcPr>
    </w:tblStylePr>
    <w:tblStylePr w:type="band1Vert">
      <w:pPr>
        <w:pBdr/>
        <w:spacing/>
        <w:ind/>
      </w:pPr>
      <w:tblPr>
        <w:tblBorders/>
      </w:tblPr>
      <w:tcPr>
        <w:shd w:val="clear" w:color="efd2d2"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3" w:customStyle="1">
    <w:name w:val="List Table 1 Light - Accent 3"/>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e5eed5" w:fill="e5eed5" w:themeFill="accent3" w:themeFillTint="40"/>
        <w:tcBorders/>
      </w:tcPr>
    </w:tblStylePr>
    <w:tblStylePr w:type="band1Vert">
      <w:pPr>
        <w:pBdr/>
        <w:spacing/>
        <w:ind/>
      </w:pPr>
      <w:tblPr>
        <w:tblBorders/>
      </w:tblPr>
      <w:tcPr>
        <w:shd w:val="clear" w:color="e5eed5"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4" w:customStyle="1">
    <w:name w:val="List Table 1 Light - Accent 4"/>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dfd8e7" w:fill="dfd8e7" w:themeFill="accent4" w:themeFillTint="40"/>
        <w:tcBorders/>
      </w:tcPr>
    </w:tblStylePr>
    <w:tblStylePr w:type="band1Vert">
      <w:pPr>
        <w:pBdr/>
        <w:spacing/>
        <w:ind/>
      </w:pPr>
      <w:tblPr>
        <w:tblBorders/>
      </w:tblPr>
      <w:tcPr>
        <w:shd w:val="clear" w:color="dfd8e7"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5" w:customStyle="1">
    <w:name w:val="List Table 1 Light - Accent 5"/>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d1eaf0" w:fill="d1eaf0" w:themeFill="accent5" w:themeFillTint="40"/>
        <w:tcBorders/>
      </w:tcPr>
    </w:tblStylePr>
    <w:tblStylePr w:type="band1Vert">
      <w:pPr>
        <w:pBdr/>
        <w:spacing/>
        <w:ind/>
      </w:pPr>
      <w:tblPr>
        <w:tblBorders/>
      </w:tblPr>
      <w:tcPr>
        <w:shd w:val="clear" w:color="d1eaf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6" w:customStyle="1">
    <w:name w:val="List Table 1 Light - Accent 6"/>
    <w:basedOn w:val="1153"/>
    <w:uiPriority w:val="99"/>
    <w:pPr>
      <w:pBdr/>
      <w:spacing/>
      <w:ind/>
    </w:pPr>
    <w:tblPr>
      <w:tblStyleRowBandSize w:val="1"/>
      <w:tblStyleColBandSize w:val="1"/>
      <w:tblBorders/>
    </w:tblPr>
    <w:tcPr>
      <w:tcBorders/>
    </w:tcPr>
    <w:tblStylePr w:type="band1Horz">
      <w:pPr>
        <w:pBdr/>
        <w:spacing/>
        <w:ind/>
      </w:pPr>
      <w:tblPr>
        <w:tblBorders/>
      </w:tblPr>
      <w:tcPr>
        <w:shd w:val="clear" w:color="fde4d0" w:fill="fde4d0" w:themeFill="accent6" w:themeFillTint="40"/>
        <w:tcBorders/>
      </w:tcPr>
    </w:tblStylePr>
    <w:tblStylePr w:type="band1Vert">
      <w:pPr>
        <w:pBdr/>
        <w:spacing/>
        <w:ind/>
      </w:pPr>
      <w:tblPr>
        <w:tblBorders/>
      </w:tblPr>
      <w:tcPr>
        <w:shd w:val="clear" w:color="fde4d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7">
    <w:name w:val="List Table 2"/>
    <w:basedOn w:val="1153"/>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sz w:val="22"/>
      </w:rPr>
      <w:pPr>
        <w:pBdr/>
        <w:spacing/>
        <w:ind/>
      </w:pPr>
      <w:tblPr>
        <w:tblBorders/>
      </w:tblPr>
      <w:tcPr>
        <w:shd w:val="clear" w:color="bfbfbf" w:fill="bfbfbf" w:themeFill="text1" w:themeFillTint="40"/>
        <w:tcBorders/>
      </w:tcPr>
    </w:tblStylePr>
    <w:tblStylePr w:type="band1Vert">
      <w:rPr>
        <w:sz w:val="22"/>
      </w:rPr>
      <w:pPr>
        <w:pBdr/>
        <w:spacing/>
        <w:ind/>
      </w:pPr>
      <w:tblPr>
        <w:tblBorders/>
      </w:tblPr>
      <w:tcPr>
        <w:shd w:val="clear" w:color="bfbfb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8" w:customStyle="1">
    <w:name w:val="List Table 2 - Accent 1"/>
    <w:basedOn w:val="1153"/>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sz w:val="22"/>
      </w:rPr>
      <w:pPr>
        <w:pBdr/>
        <w:spacing/>
        <w:ind/>
      </w:pPr>
      <w:tblPr>
        <w:tblBorders/>
      </w:tblPr>
      <w:tcPr>
        <w:shd w:val="clear" w:color="d2dfee" w:fill="d2dfee" w:themeFill="accent1" w:themeFillTint="40"/>
        <w:tcBorders/>
      </w:tcPr>
    </w:tblStylePr>
    <w:tblStylePr w:type="band1Vert">
      <w:rPr>
        <w:sz w:val="22"/>
      </w:rPr>
      <w:pPr>
        <w:pBdr/>
        <w:spacing/>
        <w:ind/>
      </w:pPr>
      <w:tblPr>
        <w:tblBorders/>
      </w:tblPr>
      <w:tcPr>
        <w:shd w:val="clear" w:color="d2dfee"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9bb7d9" w:themeColor="accent1" w:sz="4" w:space="0"/>
          <w:left w:val="none" w:color="000000" w:sz="4" w:space="0"/>
          <w:bottom w:val="single" w:color="9bb7d9"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9" w:customStyle="1">
    <w:name w:val="List Table 2 - Accent 2"/>
    <w:basedOn w:val="1153"/>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sz w:val="22"/>
      </w:rPr>
      <w:pPr>
        <w:pBdr/>
        <w:spacing/>
        <w:ind/>
      </w:pPr>
      <w:tblPr>
        <w:tblBorders/>
      </w:tblPr>
      <w:tcPr>
        <w:shd w:val="clear" w:color="efd2d2" w:fill="efd2d2" w:themeFill="accent2" w:themeFillTint="40"/>
        <w:tcBorders/>
      </w:tcPr>
    </w:tblStylePr>
    <w:tblStylePr w:type="band1Vert">
      <w:rPr>
        <w:sz w:val="22"/>
      </w:rPr>
      <w:pPr>
        <w:pBdr/>
        <w:spacing/>
        <w:ind/>
      </w:pPr>
      <w:tblPr>
        <w:tblBorders/>
      </w:tblPr>
      <w:tcPr>
        <w:shd w:val="clear" w:color="efd2d2"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db9b9a" w:themeColor="accent2" w:sz="4" w:space="0"/>
          <w:left w:val="none" w:color="000000" w:sz="4" w:space="0"/>
          <w:bottom w:val="single" w:color="db9b9a"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0" w:customStyle="1">
    <w:name w:val="List Table 2 - Accent 3"/>
    <w:basedOn w:val="1153"/>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sz w:val="22"/>
      </w:rPr>
      <w:pPr>
        <w:pBdr/>
        <w:spacing/>
        <w:ind/>
      </w:pPr>
      <w:tblPr>
        <w:tblBorders/>
      </w:tblPr>
      <w:tcPr>
        <w:shd w:val="clear" w:color="e5eed5" w:fill="e5eed5" w:themeFill="accent3" w:themeFillTint="40"/>
        <w:tcBorders/>
      </w:tcPr>
    </w:tblStylePr>
    <w:tblStylePr w:type="band1Vert">
      <w:rPr>
        <w:sz w:val="22"/>
      </w:rPr>
      <w:pPr>
        <w:pBdr/>
        <w:spacing/>
        <w:ind/>
      </w:pPr>
      <w:tblPr>
        <w:tblBorders/>
      </w:tblPr>
      <w:tcPr>
        <w:shd w:val="clear" w:color="e5eed5"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c6d8a1" w:themeColor="accent3" w:sz="4" w:space="0"/>
          <w:left w:val="none" w:color="000000" w:sz="4" w:space="0"/>
          <w:bottom w:val="single" w:color="c6d8a1"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1" w:customStyle="1">
    <w:name w:val="List Table 2 - Accent 4"/>
    <w:basedOn w:val="1153"/>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sz w:val="22"/>
      </w:rPr>
      <w:pPr>
        <w:pBdr/>
        <w:spacing/>
        <w:ind/>
      </w:pPr>
      <w:tblPr>
        <w:tblBorders/>
      </w:tblPr>
      <w:tcPr>
        <w:shd w:val="clear" w:color="dfd8e7" w:fill="dfd8e7" w:themeFill="accent4" w:themeFillTint="40"/>
        <w:tcBorders/>
      </w:tcPr>
    </w:tblStylePr>
    <w:tblStylePr w:type="band1Vert">
      <w:rPr>
        <w:sz w:val="22"/>
      </w:rPr>
      <w:pPr>
        <w:pBdr/>
        <w:spacing/>
        <w:ind/>
      </w:pPr>
      <w:tblPr>
        <w:tblBorders/>
      </w:tblPr>
      <w:tcPr>
        <w:shd w:val="clear" w:color="dfd8e7"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b7a7ca" w:themeColor="accent4" w:sz="4" w:space="0"/>
          <w:left w:val="none" w:color="000000" w:sz="4" w:space="0"/>
          <w:bottom w:val="single" w:color="b7a7ca"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2" w:customStyle="1">
    <w:name w:val="List Table 2 - Accent 5"/>
    <w:basedOn w:val="1153"/>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sz w:val="22"/>
      </w:rPr>
      <w:pPr>
        <w:pBdr/>
        <w:spacing/>
        <w:ind/>
      </w:pPr>
      <w:tblPr>
        <w:tblBorders/>
      </w:tblPr>
      <w:tcPr>
        <w:shd w:val="clear" w:color="d1eaf0" w:fill="d1eaf0" w:themeFill="accent5" w:themeFillTint="40"/>
        <w:tcBorders/>
      </w:tcPr>
    </w:tblStylePr>
    <w:tblStylePr w:type="band1Vert">
      <w:rPr>
        <w:sz w:val="22"/>
      </w:rPr>
      <w:pPr>
        <w:pBdr/>
        <w:spacing/>
        <w:ind/>
      </w:pPr>
      <w:tblPr>
        <w:tblBorders/>
      </w:tblPr>
      <w:tcPr>
        <w:shd w:val="clear" w:color="d1eaf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99d0de" w:themeColor="accent5" w:sz="4" w:space="0"/>
          <w:left w:val="none" w:color="000000" w:sz="4" w:space="0"/>
          <w:bottom w:val="single" w:color="99d0de"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3" w:customStyle="1">
    <w:name w:val="List Table 2 - Accent 6"/>
    <w:basedOn w:val="1153"/>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sz w:val="22"/>
      </w:rPr>
      <w:pPr>
        <w:pBdr/>
        <w:spacing/>
        <w:ind/>
      </w:pPr>
      <w:tblPr>
        <w:tblBorders/>
      </w:tblPr>
      <w:tcPr>
        <w:shd w:val="clear" w:color="fde4d0" w:fill="fde4d0" w:themeFill="accent6" w:themeFillTint="40"/>
        <w:tcBorders/>
      </w:tcPr>
    </w:tblStylePr>
    <w:tblStylePr w:type="band1Vert">
      <w:rPr>
        <w:sz w:val="22"/>
      </w:rPr>
      <w:pPr>
        <w:pBdr/>
        <w:spacing/>
        <w:ind/>
      </w:pPr>
      <w:tblPr>
        <w:tblBorders/>
      </w:tblPr>
      <w:tcPr>
        <w:shd w:val="clear" w:color="fde4d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fac396" w:themeColor="accent6" w:sz="4" w:space="0"/>
          <w:left w:val="none" w:color="000000" w:sz="4" w:space="0"/>
          <w:bottom w:val="single" w:color="fac396"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4">
    <w:name w:val="List Table 3"/>
    <w:basedOn w:val="115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sz w:val="22"/>
      </w:rPr>
      <w:pPr>
        <w:pBdr/>
        <w:spacing/>
        <w:ind/>
      </w:pPr>
      <w:tblPr>
        <w:tblBorders/>
      </w:tblPr>
      <w:tcPr>
        <w:tcBorders>
          <w:top w:val="single" w:color="000000" w:themeColor="text1" w:sz="4" w:space="0"/>
          <w:bottom w:val="single" w:color="000000" w:themeColor="text1" w:sz="4" w:space="0"/>
        </w:tcBorders>
      </w:tcPr>
    </w:tblStylePr>
    <w:tblStylePr w:type="band1Vert">
      <w:rPr>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5" w:customStyle="1">
    <w:name w:val="List Table 3 - Accent 1"/>
    <w:basedOn w:val="1153"/>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sz w:val="22"/>
      </w:rPr>
      <w:pPr>
        <w:pBdr/>
        <w:spacing/>
        <w:ind/>
      </w:pPr>
      <w:tblPr>
        <w:tblBorders/>
      </w:tblPr>
      <w:tcPr>
        <w:tcBorders>
          <w:top w:val="single" w:color="4f81bd" w:themeColor="accent1" w:sz="4" w:space="0"/>
          <w:bottom w:val="single" w:color="4f81bd" w:themeColor="accent1" w:sz="4" w:space="0"/>
        </w:tcBorders>
      </w:tcPr>
    </w:tblStylePr>
    <w:tblStylePr w:type="band1Vert">
      <w:rPr>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f81bd" w:fill="4f81bd"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6" w:customStyle="1">
    <w:name w:val="List Table 3 - Accent 2"/>
    <w:basedOn w:val="115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sz w:val="22"/>
      </w:rPr>
      <w:pPr>
        <w:pBdr/>
        <w:spacing/>
        <w:ind/>
      </w:pPr>
      <w:tblPr>
        <w:tblBorders/>
      </w:tblPr>
      <w:tcPr>
        <w:tcBorders>
          <w:top w:val="single" w:color="d99695" w:themeColor="accent2" w:sz="4" w:space="0"/>
          <w:bottom w:val="single" w:color="d99695" w:themeColor="accent2" w:sz="4" w:space="0"/>
        </w:tcBorders>
      </w:tcPr>
    </w:tblStylePr>
    <w:tblStylePr w:type="band1Vert">
      <w:rPr>
        <w:sz w:val="22"/>
      </w:rPr>
      <w:pPr>
        <w:pBdr/>
        <w:spacing/>
        <w:ind/>
      </w:pPr>
      <w:tblPr>
        <w:tblBorders/>
      </w:tblPr>
      <w:tcPr>
        <w:tcBorders>
          <w:left w:val="single" w:color="d99695" w:themeColor="accent2" w:sz="4" w:space="0"/>
          <w:right w:val="single" w:color="d99695"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d99695" w:fill="d99695" w:themeFill="accent2" w:themeFillTint="97"/>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7" w:customStyle="1">
    <w:name w:val="List Table 3 - Accent 3"/>
    <w:basedOn w:val="1153"/>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sz w:val="22"/>
      </w:rPr>
      <w:pPr>
        <w:pBdr/>
        <w:spacing/>
        <w:ind/>
      </w:pPr>
      <w:tblPr>
        <w:tblBorders/>
      </w:tblPr>
      <w:tcPr>
        <w:tcBorders>
          <w:top w:val="single" w:color="c3d69b" w:themeColor="accent3" w:sz="4" w:space="0"/>
          <w:bottom w:val="single" w:color="c3d69b" w:themeColor="accent3" w:sz="4" w:space="0"/>
        </w:tcBorders>
      </w:tcPr>
    </w:tblStylePr>
    <w:tblStylePr w:type="band1Vert">
      <w:rPr>
        <w:sz w:val="22"/>
      </w:rPr>
      <w:pPr>
        <w:pBdr/>
        <w:spacing/>
        <w:ind/>
      </w:pPr>
      <w:tblPr>
        <w:tblBorders/>
      </w:tblPr>
      <w:tcPr>
        <w:tcBorders>
          <w:left w:val="single" w:color="c3d69b" w:themeColor="accent3" w:sz="4" w:space="0"/>
          <w:right w:val="single" w:color="c3d69b"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c3d69b" w:fill="c3d69b" w:themeFill="accent3"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8" w:customStyle="1">
    <w:name w:val="List Table 3 - Accent 4"/>
    <w:basedOn w:val="115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sz w:val="22"/>
      </w:rPr>
      <w:pPr>
        <w:pBdr/>
        <w:spacing/>
        <w:ind/>
      </w:pPr>
      <w:tblPr>
        <w:tblBorders/>
      </w:tblPr>
      <w:tcPr>
        <w:tcBorders>
          <w:top w:val="single" w:color="b2a1c6" w:themeColor="accent4" w:sz="4" w:space="0"/>
          <w:bottom w:val="single" w:color="b2a1c6" w:themeColor="accent4" w:sz="4" w:space="0"/>
        </w:tcBorders>
      </w:tcPr>
    </w:tblStylePr>
    <w:tblStylePr w:type="band1Vert">
      <w:rPr>
        <w:sz w:val="22"/>
      </w:rPr>
      <w:pPr>
        <w:pBdr/>
        <w:spacing/>
        <w:ind/>
      </w:pPr>
      <w:tblPr>
        <w:tblBorders/>
      </w:tblPr>
      <w:tcPr>
        <w:tcBorders>
          <w:left w:val="single" w:color="b2a1c6" w:themeColor="accent4" w:sz="4" w:space="0"/>
          <w:right w:val="single" w:color="b2a1c6"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b2a1c6" w:fill="b2a1c6" w:themeFill="accent4"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9" w:customStyle="1">
    <w:name w:val="List Table 3 - Accent 5"/>
    <w:basedOn w:val="1153"/>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sz w:val="22"/>
      </w:rPr>
      <w:pPr>
        <w:pBdr/>
        <w:spacing/>
        <w:ind/>
      </w:pPr>
      <w:tblPr>
        <w:tblBorders/>
      </w:tblPr>
      <w:tcPr>
        <w:tcBorders>
          <w:top w:val="single" w:color="92ccdc" w:themeColor="accent5" w:sz="4" w:space="0"/>
          <w:bottom w:val="single" w:color="92ccdc" w:themeColor="accent5" w:sz="4" w:space="0"/>
        </w:tcBorders>
      </w:tcPr>
    </w:tblStylePr>
    <w:tblStylePr w:type="band1Vert">
      <w:rPr>
        <w:sz w:val="22"/>
      </w:rPr>
      <w:pPr>
        <w:pBdr/>
        <w:spacing/>
        <w:ind/>
      </w:pPr>
      <w:tblPr>
        <w:tblBorders/>
      </w:tblPr>
      <w:tcPr>
        <w:tcBorders>
          <w:left w:val="single" w:color="92ccdc" w:themeColor="accent5" w:sz="4" w:space="0"/>
          <w:right w:val="single" w:color="92ccdc"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2ccdc" w:fill="92ccdc" w:themeFill="accent5"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0" w:customStyle="1">
    <w:name w:val="List Table 3 - Accent 6"/>
    <w:basedOn w:val="1153"/>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sz w:val="22"/>
      </w:rPr>
      <w:pPr>
        <w:pBdr/>
        <w:spacing/>
        <w:ind/>
      </w:pPr>
      <w:tblPr>
        <w:tblBorders/>
      </w:tblPr>
      <w:tcPr>
        <w:tcBorders>
          <w:top w:val="single" w:color="fac090" w:themeColor="accent6" w:sz="4" w:space="0"/>
          <w:bottom w:val="single" w:color="fac090" w:themeColor="accent6" w:sz="4" w:space="0"/>
        </w:tcBorders>
      </w:tcPr>
    </w:tblStylePr>
    <w:tblStylePr w:type="band1Vert">
      <w:rPr>
        <w:sz w:val="22"/>
      </w:rPr>
      <w:pPr>
        <w:pBdr/>
        <w:spacing/>
        <w:ind/>
      </w:pPr>
      <w:tblPr>
        <w:tblBorders/>
      </w:tblPr>
      <w:tcPr>
        <w:tcBorders>
          <w:left w:val="single" w:color="fac090" w:themeColor="accent6" w:sz="4" w:space="0"/>
          <w:right w:val="single" w:color="fac090"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ac090" w:fill="fac090" w:themeFill="accent6"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1">
    <w:name w:val="List Table 4"/>
    <w:basedOn w:val="115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sz w:val="22"/>
      </w:rPr>
      <w:pPr>
        <w:pBdr/>
        <w:spacing/>
        <w:ind/>
      </w:pPr>
      <w:tblPr>
        <w:tblBorders/>
      </w:tblPr>
      <w:tcPr>
        <w:shd w:val="clear" w:color="bfbfbf" w:fill="bfbfbf" w:themeFill="text1" w:themeFillTint="40"/>
        <w:tcBorders/>
      </w:tcPr>
    </w:tblStylePr>
    <w:tblStylePr w:type="band1Vert">
      <w:rPr>
        <w:sz w:val="22"/>
      </w:rPr>
      <w:pPr>
        <w:pBdr/>
        <w:spacing/>
        <w:ind/>
      </w:pPr>
      <w:tblPr>
        <w:tblBorders/>
      </w:tblPr>
      <w:tcPr>
        <w:shd w:val="clear" w:color="bfbfb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2" w:customStyle="1">
    <w:name w:val="List Table 4 - Accent 1"/>
    <w:basedOn w:val="1153"/>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sz w:val="22"/>
      </w:rPr>
      <w:pPr>
        <w:pBdr/>
        <w:spacing/>
        <w:ind/>
      </w:pPr>
      <w:tblPr>
        <w:tblBorders/>
      </w:tblPr>
      <w:tcPr>
        <w:shd w:val="clear" w:color="d2dfee" w:fill="d2dfee" w:themeFill="accent1" w:themeFillTint="40"/>
        <w:tcBorders/>
      </w:tcPr>
    </w:tblStylePr>
    <w:tblStylePr w:type="band1Vert">
      <w:rPr>
        <w:sz w:val="22"/>
      </w:rPr>
      <w:pPr>
        <w:pBdr/>
        <w:spacing/>
        <w:ind/>
      </w:pPr>
      <w:tblPr>
        <w:tblBorders/>
      </w:tblPr>
      <w:tcPr>
        <w:shd w:val="clear" w:color="d2dfee"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f81bd" w:fill="4f81bd"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3" w:customStyle="1">
    <w:name w:val="List Table 4 - Accent 2"/>
    <w:basedOn w:val="1153"/>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sz w:val="22"/>
      </w:rPr>
      <w:pPr>
        <w:pBdr/>
        <w:spacing/>
        <w:ind/>
      </w:pPr>
      <w:tblPr>
        <w:tblBorders/>
      </w:tblPr>
      <w:tcPr>
        <w:shd w:val="clear" w:color="efd2d2" w:fill="efd2d2" w:themeFill="accent2" w:themeFillTint="40"/>
        <w:tcBorders/>
      </w:tcPr>
    </w:tblStylePr>
    <w:tblStylePr w:type="band1Vert">
      <w:rPr>
        <w:sz w:val="22"/>
      </w:rPr>
      <w:pPr>
        <w:pBdr/>
        <w:spacing/>
        <w:ind/>
      </w:pPr>
      <w:tblPr>
        <w:tblBorders/>
      </w:tblPr>
      <w:tcPr>
        <w:shd w:val="clear" w:color="efd2d2"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c0504d" w:fill="c0504d" w:themeFill="accent2"/>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4" w:customStyle="1">
    <w:name w:val="List Table 4 - Accent 3"/>
    <w:basedOn w:val="1153"/>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sz w:val="22"/>
      </w:rPr>
      <w:pPr>
        <w:pBdr/>
        <w:spacing/>
        <w:ind/>
      </w:pPr>
      <w:tblPr>
        <w:tblBorders/>
      </w:tblPr>
      <w:tcPr>
        <w:shd w:val="clear" w:color="e5eed5" w:fill="e5eed5" w:themeFill="accent3" w:themeFillTint="40"/>
        <w:tcBorders/>
      </w:tcPr>
    </w:tblStylePr>
    <w:tblStylePr w:type="band1Vert">
      <w:rPr>
        <w:sz w:val="22"/>
      </w:rPr>
      <w:pPr>
        <w:pBdr/>
        <w:spacing/>
        <w:ind/>
      </w:pPr>
      <w:tblPr>
        <w:tblBorders/>
      </w:tblPr>
      <w:tcPr>
        <w:shd w:val="clear" w:color="e5eed5"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bbb59" w:fill="9bbb59" w:themeFill="accent3"/>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5" w:customStyle="1">
    <w:name w:val="List Table 4 - Accent 4"/>
    <w:basedOn w:val="1153"/>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sz w:val="22"/>
      </w:rPr>
      <w:pPr>
        <w:pBdr/>
        <w:spacing/>
        <w:ind/>
      </w:pPr>
      <w:tblPr>
        <w:tblBorders/>
      </w:tblPr>
      <w:tcPr>
        <w:shd w:val="clear" w:color="dfd8e7" w:fill="dfd8e7" w:themeFill="accent4" w:themeFillTint="40"/>
        <w:tcBorders/>
      </w:tcPr>
    </w:tblStylePr>
    <w:tblStylePr w:type="band1Vert">
      <w:rPr>
        <w:sz w:val="22"/>
      </w:rPr>
      <w:pPr>
        <w:pBdr/>
        <w:spacing/>
        <w:ind/>
      </w:pPr>
      <w:tblPr>
        <w:tblBorders/>
      </w:tblPr>
      <w:tcPr>
        <w:shd w:val="clear" w:color="dfd8e7"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8064a2" w:fill="8064a2" w:themeFill="accent4"/>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6" w:customStyle="1">
    <w:name w:val="List Table 4 - Accent 5"/>
    <w:basedOn w:val="1153"/>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sz w:val="22"/>
      </w:rPr>
      <w:pPr>
        <w:pBdr/>
        <w:spacing/>
        <w:ind/>
      </w:pPr>
      <w:tblPr>
        <w:tblBorders/>
      </w:tblPr>
      <w:tcPr>
        <w:shd w:val="clear" w:color="d1eaf0" w:fill="d1eaf0" w:themeFill="accent5" w:themeFillTint="40"/>
        <w:tcBorders/>
      </w:tcPr>
    </w:tblStylePr>
    <w:tblStylePr w:type="band1Vert">
      <w:rPr>
        <w:sz w:val="22"/>
      </w:rPr>
      <w:pPr>
        <w:pBdr/>
        <w:spacing/>
        <w:ind/>
      </w:pPr>
      <w:tblPr>
        <w:tblBorders/>
      </w:tblPr>
      <w:tcPr>
        <w:shd w:val="clear" w:color="d1eaf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bacc6" w:fill="4bacc6" w:themeFill="accent5"/>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7" w:customStyle="1">
    <w:name w:val="List Table 4 - Accent 6"/>
    <w:basedOn w:val="1153"/>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sz w:val="22"/>
      </w:rPr>
      <w:pPr>
        <w:pBdr/>
        <w:spacing/>
        <w:ind/>
      </w:pPr>
      <w:tblPr>
        <w:tblBorders/>
      </w:tblPr>
      <w:tcPr>
        <w:shd w:val="clear" w:color="fde4d0" w:fill="fde4d0" w:themeFill="accent6" w:themeFillTint="40"/>
        <w:tcBorders/>
      </w:tcPr>
    </w:tblStylePr>
    <w:tblStylePr w:type="band1Vert">
      <w:rPr>
        <w:sz w:val="22"/>
      </w:rPr>
      <w:pPr>
        <w:pBdr/>
        <w:spacing/>
        <w:ind/>
      </w:pPr>
      <w:tblPr>
        <w:tblBorders/>
      </w:tblPr>
      <w:tcPr>
        <w:shd w:val="clear" w:color="fde4d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79646" w:fill="f79646" w:themeFill="accent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8">
    <w:name w:val="List Table 5 Dark"/>
    <w:basedOn w:val="1153"/>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cPr>
      <w:tcBorders/>
    </w:tcPr>
    <w:tblStylePr w:type="band1Horz">
      <w:pPr>
        <w:pBdr/>
        <w:spacing/>
        <w:ind/>
      </w:pPr>
      <w:tblPr>
        <w:tblBorders/>
      </w:tblPr>
      <w:tcPr>
        <w:shd w:val="clear" w:color="7f7f7f"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7f7f7f" w:themeColor="text1" w:sz="32" w:space="0"/>
          <w:right w:val="single" w:color="ffffff" w:themeColor="light1" w:sz="4" w:space="0"/>
        </w:tcBorders>
      </w:tcPr>
    </w:tblStylePr>
    <w:tblStylePr w:type="firstRow">
      <w:rPr>
        <w:b/>
        <w:color w:val="ffffff" w:themeColor="light1"/>
        <w:sz w:val="22"/>
      </w:rPr>
      <w:pPr>
        <w:pBdr/>
        <w:spacing/>
        <w:ind/>
      </w:pPr>
      <w:tblPr>
        <w:tblBorders/>
      </w:tblPr>
      <w:tcPr>
        <w:shd w:val="clear" w:color="7f7f7f" w:fill="7f7f7f" w:themeFill="text1" w:themeFillTint="80"/>
        <w:tcBorders>
          <w:top w:val="single" w:color="7f7f7f" w:themeColor="tex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9" w:customStyle="1">
    <w:name w:val="List Table 5 Dark - Accent 1"/>
    <w:basedOn w:val="1153"/>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cPr>
      <w:tcBorders/>
    </w:tcPr>
    <w:tblStylePr w:type="band1Horz">
      <w:pPr>
        <w:pBdr/>
        <w:spacing/>
        <w:ind/>
      </w:pPr>
      <w:tblPr>
        <w:tblBorders/>
      </w:tblPr>
      <w:tcPr>
        <w:shd w:val="clear" w:color="4f81bd"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b/>
        <w:color w:val="ffffff" w:themeColor="light1"/>
        <w:sz w:val="22"/>
      </w:rPr>
      <w:pPr>
        <w:pBdr/>
        <w:spacing/>
        <w:ind/>
      </w:pPr>
      <w:tblPr>
        <w:tblBorders/>
      </w:tblPr>
      <w:tcPr>
        <w:shd w:val="clear" w:color="4f81bd"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0" w:customStyle="1">
    <w:name w:val="List Table 5 Dark - Accent 2"/>
    <w:basedOn w:val="1153"/>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cPr>
      <w:tcBorders/>
    </w:tcPr>
    <w:tblStylePr w:type="band1Horz">
      <w:pPr>
        <w:pBdr/>
        <w:spacing/>
        <w:ind/>
      </w:pPr>
      <w:tblPr>
        <w:tblBorders/>
      </w:tblPr>
      <w:tcPr>
        <w:shd w:val="clear" w:color="d99695"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d99695" w:themeColor="accent2" w:sz="32" w:space="0"/>
          <w:right w:val="single" w:color="ffffff" w:themeColor="light1" w:sz="4" w:space="0"/>
        </w:tcBorders>
      </w:tcPr>
    </w:tblStylePr>
    <w:tblStylePr w:type="firstRow">
      <w:rPr>
        <w:b/>
        <w:color w:val="ffffff" w:themeColor="light1"/>
        <w:sz w:val="22"/>
      </w:rPr>
      <w:pPr>
        <w:pBdr/>
        <w:spacing/>
        <w:ind/>
      </w:pPr>
      <w:tblPr>
        <w:tblBorders/>
      </w:tblPr>
      <w:tcPr>
        <w:shd w:val="clear" w:color="d99695" w:fill="d99695" w:themeFill="accent2" w:themeFillTint="97"/>
        <w:tcBorders>
          <w:top w:val="single" w:color="d99695" w:themeColor="accent2"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1" w:customStyle="1">
    <w:name w:val="List Table 5 Dark - Accent 3"/>
    <w:basedOn w:val="1153"/>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cPr>
      <w:tcBorders/>
    </w:tcPr>
    <w:tblStylePr w:type="band1Horz">
      <w:pPr>
        <w:pBdr/>
        <w:spacing/>
        <w:ind/>
      </w:pPr>
      <w:tblPr>
        <w:tblBorders/>
      </w:tblPr>
      <w:tcPr>
        <w:shd w:val="clear" w:color="c3d69b"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c3d69b" w:themeColor="accent3" w:sz="32" w:space="0"/>
          <w:right w:val="single" w:color="ffffff" w:themeColor="light1" w:sz="4" w:space="0"/>
        </w:tcBorders>
      </w:tcPr>
    </w:tblStylePr>
    <w:tblStylePr w:type="firstRow">
      <w:rPr>
        <w:b/>
        <w:color w:val="ffffff" w:themeColor="light1"/>
        <w:sz w:val="22"/>
      </w:rPr>
      <w:pPr>
        <w:pBdr/>
        <w:spacing/>
        <w:ind/>
      </w:pPr>
      <w:tblPr>
        <w:tblBorders/>
      </w:tblPr>
      <w:tcPr>
        <w:shd w:val="clear" w:color="c3d69b" w:fill="c3d69b" w:themeFill="accent3" w:themeFillTint="98"/>
        <w:tcBorders>
          <w:top w:val="single" w:color="c3d69b" w:themeColor="accent3"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2" w:customStyle="1">
    <w:name w:val="List Table 5 Dark - Accent 4"/>
    <w:basedOn w:val="1153"/>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cPr>
      <w:tcBorders/>
    </w:tcPr>
    <w:tblStylePr w:type="band1Horz">
      <w:pPr>
        <w:pBdr/>
        <w:spacing/>
        <w:ind/>
      </w:pPr>
      <w:tblPr>
        <w:tblBorders/>
      </w:tblPr>
      <w:tcPr>
        <w:shd w:val="clear" w:color="b2a1c6"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b2a1c6" w:themeColor="accent4" w:sz="32" w:space="0"/>
          <w:right w:val="single" w:color="ffffff" w:themeColor="light1" w:sz="4" w:space="0"/>
        </w:tcBorders>
      </w:tcPr>
    </w:tblStylePr>
    <w:tblStylePr w:type="firstRow">
      <w:rPr>
        <w:b/>
        <w:color w:val="ffffff" w:themeColor="light1"/>
        <w:sz w:val="22"/>
      </w:rPr>
      <w:pPr>
        <w:pBdr/>
        <w:spacing/>
        <w:ind/>
      </w:pPr>
      <w:tblPr>
        <w:tblBorders/>
      </w:tblPr>
      <w:tcPr>
        <w:shd w:val="clear" w:color="b2a1c6" w:fill="b2a1c6" w:themeFill="accent4" w:themeFillTint="9A"/>
        <w:tcBorders>
          <w:top w:val="single" w:color="b2a1c6" w:themeColor="accent4"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3" w:customStyle="1">
    <w:name w:val="List Table 5 Dark - Accent 5"/>
    <w:basedOn w:val="1153"/>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cPr>
      <w:tcBorders/>
    </w:tcPr>
    <w:tblStylePr w:type="band1Horz">
      <w:pPr>
        <w:pBdr/>
        <w:spacing/>
        <w:ind/>
      </w:pPr>
      <w:tblPr>
        <w:tblBorders/>
      </w:tblPr>
      <w:tcPr>
        <w:shd w:val="clear" w:color="92ccdc"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92ccdc" w:themeColor="accent5" w:sz="32" w:space="0"/>
          <w:right w:val="single" w:color="ffffff" w:themeColor="light1" w:sz="4" w:space="0"/>
        </w:tcBorders>
      </w:tcPr>
    </w:tblStylePr>
    <w:tblStylePr w:type="firstRow">
      <w:rPr>
        <w:b/>
        <w:color w:val="ffffff" w:themeColor="light1"/>
        <w:sz w:val="22"/>
      </w:rPr>
      <w:pPr>
        <w:pBdr/>
        <w:spacing/>
        <w:ind/>
      </w:pPr>
      <w:tblPr>
        <w:tblBorders/>
      </w:tblPr>
      <w:tcPr>
        <w:shd w:val="clear" w:color="92ccdc" w:fill="92ccdc" w:themeFill="accent5" w:themeFillTint="9A"/>
        <w:tcBorders>
          <w:top w:val="single" w:color="92ccdc" w:themeColor="accent5"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4" w:customStyle="1">
    <w:name w:val="List Table 5 Dark - Accent 6"/>
    <w:basedOn w:val="1153"/>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cPr>
      <w:tcBorders/>
    </w:tcPr>
    <w:tblStylePr w:type="band1Horz">
      <w:pPr>
        <w:pBdr/>
        <w:spacing/>
        <w:ind/>
      </w:pPr>
      <w:tblPr>
        <w:tblBorders/>
      </w:tblPr>
      <w:tcPr>
        <w:shd w:val="clear" w:color="fac090"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fac090" w:themeColor="accent6" w:sz="32" w:space="0"/>
          <w:right w:val="single" w:color="ffffff" w:themeColor="light1" w:sz="4" w:space="0"/>
        </w:tcBorders>
      </w:tcPr>
    </w:tblStylePr>
    <w:tblStylePr w:type="firstRow">
      <w:rPr>
        <w:b/>
        <w:color w:val="ffffff" w:themeColor="light1"/>
        <w:sz w:val="22"/>
      </w:rPr>
      <w:pPr>
        <w:pBdr/>
        <w:spacing/>
        <w:ind/>
      </w:pPr>
      <w:tblPr>
        <w:tblBorders/>
      </w:tblPr>
      <w:tcPr>
        <w:shd w:val="clear" w:color="fac090" w:fill="fac090" w:themeFill="accent6" w:themeFillTint="98"/>
        <w:tcBorders>
          <w:top w:val="single" w:color="fac090" w:themeColor="accent6"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5">
    <w:name w:val="List Table 6 Colorful"/>
    <w:basedOn w:val="1153"/>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color w:val="000000" w:themeColor="text1"/>
        <w:sz w:val="22"/>
      </w:rPr>
      <w:pPr>
        <w:pBdr/>
        <w:spacing/>
        <w:ind/>
      </w:pPr>
      <w:tblPr>
        <w:tblBorders/>
      </w:tblPr>
      <w:tcPr>
        <w:shd w:val="clear" w:color="bfbfbf" w:fill="bfbfbf" w:themeFill="text1" w:themeFillTint="40"/>
        <w:tcBorders/>
      </w:tcPr>
    </w:tblStylePr>
    <w:tblStylePr w:type="band1Vert">
      <w:pPr>
        <w:pBdr/>
        <w:spacing/>
        <w:ind/>
      </w:pPr>
      <w:tblPr>
        <w:tblBorders/>
      </w:tblPr>
      <w:tcPr>
        <w:shd w:val="clear" w:color="bfbfbf" w:fill="bfbfbf" w:themeFill="text1" w:themeFillTint="40"/>
        <w:tcBorders/>
      </w:tcPr>
    </w:tblStylePr>
    <w:tblStylePr w:type="band2Horz">
      <w:rPr>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6" w:customStyle="1">
    <w:name w:val="List Table 6 Colorful - Accent 1"/>
    <w:basedOn w:val="1153"/>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color w:val="2b4b72" w:themeColor="accent1" w:themeShade="95"/>
        <w:sz w:val="22"/>
      </w:rPr>
      <w:pPr>
        <w:pBdr/>
        <w:spacing/>
        <w:ind/>
      </w:pPr>
      <w:tblPr>
        <w:tblBorders/>
      </w:tblPr>
      <w:tcPr>
        <w:shd w:val="clear" w:color="d2dfee" w:fill="d2dfee" w:themeFill="accent1" w:themeFillTint="40"/>
        <w:tcBorders/>
      </w:tcPr>
    </w:tblStylePr>
    <w:tblStylePr w:type="band1Vert">
      <w:pPr>
        <w:pBdr/>
        <w:spacing/>
        <w:ind/>
      </w:pPr>
      <w:tblPr>
        <w:tblBorders/>
      </w:tblPr>
      <w:tcPr>
        <w:shd w:val="clear" w:color="d2dfee" w:fill="d2dfee" w:themeFill="accent1" w:themeFillTint="40"/>
        <w:tcBorders/>
      </w:tcPr>
    </w:tblStylePr>
    <w:tblStylePr w:type="band2Horz">
      <w:rPr>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4f81bd"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7" w:customStyle="1">
    <w:name w:val="List Table 6 Colorful - Accent 2"/>
    <w:basedOn w:val="1153"/>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color w:val="9f3a38" w:themeColor="accent2" w:themeTint="97" w:themeShade="95"/>
        <w:sz w:val="22"/>
      </w:rPr>
      <w:pPr>
        <w:pBdr/>
        <w:spacing/>
        <w:ind/>
      </w:pPr>
      <w:tblPr>
        <w:tblBorders/>
      </w:tblPr>
      <w:tcPr>
        <w:shd w:val="clear" w:color="efd2d2" w:fill="efd2d2" w:themeFill="accent2" w:themeFillTint="40"/>
        <w:tcBorders/>
      </w:tcPr>
    </w:tblStylePr>
    <w:tblStylePr w:type="band1Vert">
      <w:pPr>
        <w:pBdr/>
        <w:spacing/>
        <w:ind/>
      </w:pPr>
      <w:tblPr>
        <w:tblBorders/>
      </w:tblPr>
      <w:tcPr>
        <w:shd w:val="clear" w:color="efd2d2" w:fill="efd2d2" w:themeFill="accent2" w:themeFillTint="40"/>
        <w:tcBorders/>
      </w:tcPr>
    </w:tblStylePr>
    <w:tblStylePr w:type="band2Horz">
      <w:rPr>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d99695" w:themeColor="accent2"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d99695"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8" w:customStyle="1">
    <w:name w:val="List Table 6 Colorful - Accent 3"/>
    <w:basedOn w:val="1153"/>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color w:val="7c993f" w:themeColor="accent3" w:themeTint="98" w:themeShade="95"/>
        <w:sz w:val="22"/>
      </w:rPr>
      <w:pPr>
        <w:pBdr/>
        <w:spacing/>
        <w:ind/>
      </w:pPr>
      <w:tblPr>
        <w:tblBorders/>
      </w:tblPr>
      <w:tcPr>
        <w:shd w:val="clear" w:color="e5eed5" w:fill="e5eed5" w:themeFill="accent3" w:themeFillTint="40"/>
        <w:tcBorders/>
      </w:tcPr>
    </w:tblStylePr>
    <w:tblStylePr w:type="band1Vert">
      <w:pPr>
        <w:pBdr/>
        <w:spacing/>
        <w:ind/>
      </w:pPr>
      <w:tblPr>
        <w:tblBorders/>
      </w:tblPr>
      <w:tcPr>
        <w:shd w:val="clear" w:color="e5eed5" w:fill="e5eed5" w:themeFill="accent3" w:themeFillTint="40"/>
        <w:tcBorders/>
      </w:tcPr>
    </w:tblStylePr>
    <w:tblStylePr w:type="band2Horz">
      <w:rPr>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c3d69b" w:themeColor="accent3"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c3d69b"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9" w:customStyle="1">
    <w:name w:val="List Table 6 Colorful - Accent 4"/>
    <w:basedOn w:val="1153"/>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color w:val="664f84" w:themeColor="accent4" w:themeTint="9A" w:themeShade="95"/>
        <w:sz w:val="22"/>
      </w:rPr>
      <w:pPr>
        <w:pBdr/>
        <w:spacing/>
        <w:ind/>
      </w:pPr>
      <w:tblPr>
        <w:tblBorders/>
      </w:tblPr>
      <w:tcPr>
        <w:shd w:val="clear" w:color="dfd8e7" w:fill="dfd8e7" w:themeFill="accent4" w:themeFillTint="40"/>
        <w:tcBorders/>
      </w:tcPr>
    </w:tblStylePr>
    <w:tblStylePr w:type="band1Vert">
      <w:pPr>
        <w:pBdr/>
        <w:spacing/>
        <w:ind/>
      </w:pPr>
      <w:tblPr>
        <w:tblBorders/>
      </w:tblPr>
      <w:tcPr>
        <w:shd w:val="clear" w:color="dfd8e7" w:fill="dfd8e7" w:themeFill="accent4" w:themeFillTint="40"/>
        <w:tcBorders/>
      </w:tcPr>
    </w:tblStylePr>
    <w:tblStylePr w:type="band2Horz">
      <w:rPr>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b2a1c6" w:themeColor="accent4"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b2a1c6"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0" w:customStyle="1">
    <w:name w:val="List Table 6 Colorful - Accent 5"/>
    <w:basedOn w:val="1153"/>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color w:val="338ba3" w:themeColor="accent5" w:themeTint="9A" w:themeShade="95"/>
        <w:sz w:val="22"/>
      </w:rPr>
      <w:pPr>
        <w:pBdr/>
        <w:spacing/>
        <w:ind/>
      </w:pPr>
      <w:tblPr>
        <w:tblBorders/>
      </w:tblPr>
      <w:tcPr>
        <w:shd w:val="clear" w:color="d1eaf0" w:fill="d1eaf0" w:themeFill="accent5" w:themeFillTint="40"/>
        <w:tcBorders/>
      </w:tcPr>
    </w:tblStylePr>
    <w:tblStylePr w:type="band1Vert">
      <w:pPr>
        <w:pBdr/>
        <w:spacing/>
        <w:ind/>
      </w:pPr>
      <w:tblPr>
        <w:tblBorders/>
      </w:tblPr>
      <w:tcPr>
        <w:shd w:val="clear" w:color="d1eaf0" w:fill="d1eaf0" w:themeFill="accent5" w:themeFillTint="40"/>
        <w:tcBorders/>
      </w:tcPr>
    </w:tblStylePr>
    <w:tblStylePr w:type="band2Horz">
      <w:rPr>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92ccdc" w:themeColor="accent5"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92ccdc"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1" w:customStyle="1">
    <w:name w:val="List Table 6 Colorful - Accent 6"/>
    <w:basedOn w:val="1153"/>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color w:val="dd680a" w:themeColor="accent6" w:themeTint="98" w:themeShade="95"/>
        <w:sz w:val="22"/>
      </w:rPr>
      <w:pPr>
        <w:pBdr/>
        <w:spacing/>
        <w:ind/>
      </w:pPr>
      <w:tblPr>
        <w:tblBorders/>
      </w:tblPr>
      <w:tcPr>
        <w:shd w:val="clear" w:color="fde4d0" w:fill="fde4d0" w:themeFill="accent6" w:themeFillTint="40"/>
        <w:tcBorders/>
      </w:tcPr>
    </w:tblStylePr>
    <w:tblStylePr w:type="band1Vert">
      <w:pPr>
        <w:pBdr/>
        <w:spacing/>
        <w:ind/>
      </w:pPr>
      <w:tblPr>
        <w:tblBorders/>
      </w:tblPr>
      <w:tcPr>
        <w:shd w:val="clear" w:color="fde4d0" w:fill="fde4d0" w:themeFill="accent6" w:themeFillTint="40"/>
        <w:tcBorders/>
      </w:tcPr>
    </w:tblStylePr>
    <w:tblStylePr w:type="band2Horz">
      <w:rPr>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fac090" w:themeColor="accent6"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fac09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2">
    <w:name w:val="List Table 7 Colorful"/>
    <w:basedOn w:val="1153"/>
    <w:uiPriority w:val="99"/>
    <w:pPr>
      <w:pBdr/>
      <w:spacing/>
      <w:ind/>
    </w:pPr>
    <w:tblPr>
      <w:tblStyleRowBandSize w:val="1"/>
      <w:tblStyleColBandSize w:val="1"/>
      <w:tblBorders>
        <w:right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bfbfbf" w:fill="bfbfbf" w:themeFill="text1" w:themeFillTint="40"/>
        <w:tcBorders/>
      </w:tcPr>
    </w:tblStylePr>
    <w:tblStylePr w:type="band1Vert">
      <w:pPr>
        <w:pBdr/>
        <w:spacing/>
        <w:ind/>
      </w:pPr>
      <w:tblPr>
        <w:tblBorders/>
      </w:tblPr>
      <w:tcPr>
        <w:shd w:val="clear" w:color="bfbfbf" w:fill="bfbfbf" w:themeFill="text1" w:themeFillTint="4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sz="4" w:space="0"/>
        </w:tcBorders>
      </w:tcPr>
    </w:tblStylePr>
    <w:tblStylePr w:type="firstRow">
      <w:rPr>
        <w:i/>
        <w:color w:val="4a4a4a" w:themeColor="text1" w:themeTint="80" w:themeShade="95"/>
        <w:sz w:val="22"/>
      </w:rPr>
      <w:pPr>
        <w:pBdr/>
        <w:spacing/>
        <w:ind/>
      </w:pPr>
      <w:tblPr>
        <w:tblBorders/>
      </w:tblPr>
      <w:tcPr>
        <w:shd w:val="clear" w:color="ffffff" w:fill="ffffff" w:themeFill="light1"/>
        <w:tcBorders>
          <w:top w:val="none" w:color="000000" w:sz="0" w:space="0"/>
          <w:left w:val="none" w:color="000000" w:sz="0" w:space="0"/>
          <w:bottom w:val="single" w:color="7f7f7f" w:themeColor="text1" w:sz="4" w:space="0"/>
          <w:right w:val="none" w:color="000000" w:sz="0" w:space="0"/>
        </w:tcBorders>
      </w:tcPr>
    </w:tblStylePr>
    <w:tblStylePr w:type="lastCol">
      <w:rPr>
        <w:i/>
        <w:color w:val="4a4a4a" w:themeColor="text1" w:themeTint="80" w:themeShade="95"/>
        <w:sz w:val="22"/>
      </w:rPr>
      <w:pPr>
        <w:pBdr/>
        <w:spacing/>
        <w:ind/>
      </w:pPr>
      <w:tblPr>
        <w:tblBorders/>
      </w:tblPr>
      <w:tcPr>
        <w:shd w:val="clear" w:color="ffffff" w:fill="auto"/>
        <w:tcBorders>
          <w:top w:val="none" w:color="000000" w:sz="0" w:space="0"/>
          <w:left w:val="single" w:color="7f7f7f" w:themeColor="text1" w:sz="4" w:space="0"/>
          <w:bottom w:val="none" w:color="000000" w:sz="0" w:space="0"/>
          <w:right w:val="none" w:color="000000" w:sz="0" w:space="0"/>
        </w:tcBorders>
      </w:tcPr>
    </w:tblStylePr>
    <w:tblStylePr w:type="lastRow">
      <w:rPr>
        <w:i/>
        <w:color w:val="4a4a4a" w:themeColor="text1" w:themeTint="80" w:themeShade="95"/>
        <w:sz w:val="22"/>
      </w:rPr>
      <w:pPr>
        <w:pBdr/>
        <w:spacing/>
        <w:ind/>
      </w:pPr>
      <w:tblPr>
        <w:tblBorders/>
      </w:tblPr>
      <w:tcPr>
        <w:shd w:val="clear" w:color="ffffff" w:fill="ffffff" w:themeFill="light1"/>
        <w:tcBorders>
          <w:top w:val="single" w:color="7f7f7f" w:themeColor="tex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3" w:customStyle="1">
    <w:name w:val="List Table 7 Colorful - Accent 1"/>
    <w:basedOn w:val="1153"/>
    <w:uiPriority w:val="99"/>
    <w:pPr>
      <w:pBdr/>
      <w:spacing/>
      <w:ind/>
    </w:pPr>
    <w:tblPr>
      <w:tblStyleRowBandSize w:val="1"/>
      <w:tblStyleColBandSize w:val="1"/>
      <w:tblBorders>
        <w:right w:val="single" w:color="4f81bd" w:themeColor="accent1" w:sz="4" w:space="0"/>
      </w:tblBorders>
    </w:tblPr>
    <w:tcPr>
      <w:tcBorders/>
    </w:tcPr>
    <w:tblStylePr w:type="band1Horz">
      <w:rPr>
        <w:color w:val="2b4b72" w:themeColor="accent1" w:themeShade="95"/>
        <w:sz w:val="22"/>
      </w:rPr>
      <w:pPr>
        <w:pBdr/>
        <w:spacing/>
        <w:ind/>
      </w:pPr>
      <w:tblPr>
        <w:tblBorders/>
      </w:tblPr>
      <w:tcPr>
        <w:shd w:val="clear" w:color="d2dfee" w:fill="d2dfee" w:themeFill="accent1" w:themeFillTint="40"/>
        <w:tcBorders/>
      </w:tcPr>
    </w:tblStylePr>
    <w:tblStylePr w:type="band1Vert">
      <w:pPr>
        <w:pBdr/>
        <w:spacing/>
        <w:ind/>
      </w:pPr>
      <w:tblPr>
        <w:tblBorders/>
      </w:tblPr>
      <w:tcPr>
        <w:shd w:val="clear" w:color="d2dfee" w:fill="d2dfee" w:themeFill="accent1" w:themeFillTint="40"/>
        <w:tcBorders/>
      </w:tcPr>
    </w:tblStylePr>
    <w:tblStylePr w:type="band2Horz">
      <w:rPr>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b4b72"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i/>
        <w:color w:val="2b4b72" w:themeColor="accent1" w:themeShade="95"/>
        <w:sz w:val="22"/>
      </w:rPr>
      <w:pPr>
        <w:pBdr/>
        <w:spacing/>
        <w:ind/>
      </w:pPr>
      <w:tblPr>
        <w:tblBorders/>
      </w:tblPr>
      <w:tcPr>
        <w:shd w:val="clear" w:color="ffffff"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i/>
        <w:color w:val="2b4b72" w:themeColor="accent1" w:themeShade="95"/>
        <w:sz w:val="22"/>
      </w:rPr>
      <w:pPr>
        <w:pBdr/>
        <w:spacing/>
        <w:ind/>
      </w:pPr>
      <w:tblPr>
        <w:tblBorders/>
      </w:tbl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i/>
        <w:color w:val="2b4b72" w:themeColor="accent1" w:themeShade="95"/>
        <w:sz w:val="22"/>
      </w:rPr>
      <w:pPr>
        <w:pBdr/>
        <w:spacing/>
        <w:ind/>
      </w:pPr>
      <w:tblPr>
        <w:tblBorders/>
      </w:tblPr>
      <w:tcPr>
        <w:shd w:val="clear" w:color="ffffff" w:fill="ffffff" w:themeFill="light1"/>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4" w:customStyle="1">
    <w:name w:val="List Table 7 Colorful - Accent 2"/>
    <w:basedOn w:val="1153"/>
    <w:uiPriority w:val="99"/>
    <w:pPr>
      <w:pBdr/>
      <w:spacing/>
      <w:ind/>
    </w:pPr>
    <w:tblPr>
      <w:tblStyleRowBandSize w:val="1"/>
      <w:tblStyleColBandSize w:val="1"/>
      <w:tblBorders>
        <w:right w:val="single" w:color="d99695" w:themeColor="accent2" w:themeTint="97" w:sz="4" w:space="0"/>
      </w:tblBorders>
    </w:tblPr>
    <w:tcPr>
      <w:tcBorders/>
    </w:tcPr>
    <w:tblStylePr w:type="band1Horz">
      <w:rPr>
        <w:color w:val="9f3a38" w:themeColor="accent2" w:themeTint="97" w:themeShade="95"/>
        <w:sz w:val="22"/>
      </w:rPr>
      <w:pPr>
        <w:pBdr/>
        <w:spacing/>
        <w:ind/>
      </w:pPr>
      <w:tblPr>
        <w:tblBorders/>
      </w:tblPr>
      <w:tcPr>
        <w:shd w:val="clear" w:color="efd2d2" w:fill="efd2d2" w:themeFill="accent2" w:themeFillTint="40"/>
        <w:tcBorders/>
      </w:tcPr>
    </w:tblStylePr>
    <w:tblStylePr w:type="band1Vert">
      <w:pPr>
        <w:pBdr/>
        <w:spacing/>
        <w:ind/>
      </w:pPr>
      <w:tblPr>
        <w:tblBorders/>
      </w:tblPr>
      <w:tcPr>
        <w:shd w:val="clear" w:color="efd2d2" w:fill="efd2d2" w:themeFill="accent2" w:themeFillTint="40"/>
        <w:tcBorders/>
      </w:tcPr>
    </w:tblStylePr>
    <w:tblStylePr w:type="band2Horz">
      <w:rPr>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f3a38"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sz="4" w:space="0"/>
        </w:tcBorders>
      </w:tcPr>
    </w:tblStylePr>
    <w:tblStylePr w:type="firstRow">
      <w:rPr>
        <w:i/>
        <w:color w:val="9f3a38" w:themeColor="accent2" w:themeTint="97" w:themeShade="95"/>
        <w:sz w:val="22"/>
      </w:rPr>
      <w:pPr>
        <w:pBdr/>
        <w:spacing/>
        <w:ind/>
      </w:pPr>
      <w:tblPr>
        <w:tblBorders/>
      </w:tblPr>
      <w:tcPr>
        <w:shd w:val="clear" w:color="ffffff" w:fill="ffffff" w:themeFill="light1"/>
        <w:tcBorders>
          <w:top w:val="none" w:color="000000" w:sz="0" w:space="0"/>
          <w:left w:val="none" w:color="000000" w:sz="0" w:space="0"/>
          <w:bottom w:val="single" w:color="d99695" w:themeColor="accent2" w:sz="4" w:space="0"/>
          <w:right w:val="none" w:color="000000" w:sz="0" w:space="0"/>
        </w:tcBorders>
      </w:tcPr>
    </w:tblStylePr>
    <w:tblStylePr w:type="lastCol">
      <w:rPr>
        <w:i/>
        <w:color w:val="9f3a38" w:themeColor="accent2" w:themeTint="97" w:themeShade="95"/>
        <w:sz w:val="22"/>
      </w:rPr>
      <w:pPr>
        <w:pBdr/>
        <w:spacing/>
        <w:ind/>
      </w:pPr>
      <w:tblPr>
        <w:tblBorders/>
      </w:tblPr>
      <w:tcPr>
        <w:shd w:val="clear" w:color="ffffff" w:fill="auto"/>
        <w:tcBorders>
          <w:top w:val="none" w:color="000000" w:sz="0" w:space="0"/>
          <w:left w:val="single" w:color="d99695" w:themeColor="accent2" w:sz="4" w:space="0"/>
          <w:bottom w:val="none" w:color="000000" w:sz="0" w:space="0"/>
          <w:right w:val="none" w:color="000000" w:sz="0" w:space="0"/>
        </w:tcBorders>
      </w:tcPr>
    </w:tblStylePr>
    <w:tblStylePr w:type="lastRow">
      <w:rPr>
        <w:i/>
        <w:color w:val="9f3a38" w:themeColor="accent2" w:themeTint="97" w:themeShade="95"/>
        <w:sz w:val="22"/>
      </w:rPr>
      <w:pPr>
        <w:pBdr/>
        <w:spacing/>
        <w:ind/>
      </w:pPr>
      <w:tblPr>
        <w:tblBorders/>
      </w:tblPr>
      <w:tcPr>
        <w:shd w:val="clear" w:color="ffffff" w:fill="ffffff" w:themeFill="light1"/>
        <w:tcBorders>
          <w:top w:val="single" w:color="d99695" w:themeColor="accent2"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5" w:customStyle="1">
    <w:name w:val="List Table 7 Colorful - Accent 3"/>
    <w:basedOn w:val="1153"/>
    <w:uiPriority w:val="99"/>
    <w:pPr>
      <w:pBdr/>
      <w:spacing/>
      <w:ind/>
    </w:pPr>
    <w:tblPr>
      <w:tblStyleRowBandSize w:val="1"/>
      <w:tblStyleColBandSize w:val="1"/>
      <w:tblBorders>
        <w:right w:val="single" w:color="c3d69b" w:themeColor="accent3" w:themeTint="98" w:sz="4" w:space="0"/>
      </w:tblBorders>
    </w:tblPr>
    <w:tcPr>
      <w:tcBorders/>
    </w:tcPr>
    <w:tblStylePr w:type="band1Horz">
      <w:rPr>
        <w:color w:val="7c993f" w:themeColor="accent3" w:themeTint="98" w:themeShade="95"/>
        <w:sz w:val="22"/>
      </w:rPr>
      <w:pPr>
        <w:pBdr/>
        <w:spacing/>
        <w:ind/>
      </w:pPr>
      <w:tblPr>
        <w:tblBorders/>
      </w:tblPr>
      <w:tcPr>
        <w:shd w:val="clear" w:color="e5eed5" w:fill="e5eed5" w:themeFill="accent3" w:themeFillTint="40"/>
        <w:tcBorders/>
      </w:tcPr>
    </w:tblStylePr>
    <w:tblStylePr w:type="band1Vert">
      <w:pPr>
        <w:pBdr/>
        <w:spacing/>
        <w:ind/>
      </w:pPr>
      <w:tblPr>
        <w:tblBorders/>
      </w:tblPr>
      <w:tcPr>
        <w:shd w:val="clear" w:color="e5eed5" w:fill="e5eed5" w:themeFill="accent3" w:themeFillTint="40"/>
        <w:tcBorders/>
      </w:tcPr>
    </w:tblStylePr>
    <w:tblStylePr w:type="band2Horz">
      <w:rPr>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c993f"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3d69b" w:themeColor="accent3" w:sz="4" w:space="0"/>
        </w:tcBorders>
      </w:tcPr>
    </w:tblStylePr>
    <w:tblStylePr w:type="firstRow">
      <w:rPr>
        <w:i/>
        <w:color w:val="7c993f" w:themeColor="accent3" w:themeTint="98" w:themeShade="95"/>
        <w:sz w:val="22"/>
      </w:rPr>
      <w:pPr>
        <w:pBdr/>
        <w:spacing/>
        <w:ind/>
      </w:pPr>
      <w:tblPr>
        <w:tblBorders/>
      </w:tblPr>
      <w:tcPr>
        <w:shd w:val="clear" w:color="ffffff" w:fill="ffffff" w:themeFill="light1"/>
        <w:tcBorders>
          <w:top w:val="none" w:color="000000" w:sz="0" w:space="0"/>
          <w:left w:val="none" w:color="000000" w:sz="0" w:space="0"/>
          <w:bottom w:val="single" w:color="c3d69b" w:themeColor="accent3" w:sz="4" w:space="0"/>
          <w:right w:val="none" w:color="000000" w:sz="0" w:space="0"/>
        </w:tcBorders>
      </w:tcPr>
    </w:tblStylePr>
    <w:tblStylePr w:type="lastCol">
      <w:rPr>
        <w:i/>
        <w:color w:val="7c993f" w:themeColor="accent3" w:themeTint="98" w:themeShade="95"/>
        <w:sz w:val="22"/>
      </w:rPr>
      <w:pPr>
        <w:pBdr/>
        <w:spacing/>
        <w:ind/>
      </w:pPr>
      <w:tblPr>
        <w:tblBorders/>
      </w:tblPr>
      <w:tcPr>
        <w:shd w:val="clear" w:color="ffffff" w:fill="auto"/>
        <w:tcBorders>
          <w:top w:val="none" w:color="000000" w:sz="0" w:space="0"/>
          <w:left w:val="single" w:color="c3d69b" w:themeColor="accent3" w:sz="4" w:space="0"/>
          <w:bottom w:val="none" w:color="000000" w:sz="0" w:space="0"/>
          <w:right w:val="none" w:color="000000" w:sz="0" w:space="0"/>
        </w:tcBorders>
      </w:tcPr>
    </w:tblStylePr>
    <w:tblStylePr w:type="lastRow">
      <w:rPr>
        <w:i/>
        <w:color w:val="7c993f" w:themeColor="accent3" w:themeTint="98" w:themeShade="95"/>
        <w:sz w:val="22"/>
      </w:rPr>
      <w:pPr>
        <w:pBdr/>
        <w:spacing/>
        <w:ind/>
      </w:pPr>
      <w:tblPr>
        <w:tblBorders/>
      </w:tblPr>
      <w:tcPr>
        <w:shd w:val="clear" w:color="ffffff" w:fill="ffffff" w:themeFill="light1"/>
        <w:tcBorders>
          <w:top w:val="single" w:color="c3d69b" w:themeColor="accent3"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6" w:customStyle="1">
    <w:name w:val="List Table 7 Colorful - Accent 4"/>
    <w:basedOn w:val="1153"/>
    <w:uiPriority w:val="99"/>
    <w:pPr>
      <w:pBdr/>
      <w:spacing/>
      <w:ind/>
    </w:pPr>
    <w:tblPr>
      <w:tblStyleRowBandSize w:val="1"/>
      <w:tblStyleColBandSize w:val="1"/>
      <w:tblBorders>
        <w:right w:val="single" w:color="b2a1c6" w:themeColor="accent4" w:themeTint="9A" w:sz="4" w:space="0"/>
      </w:tblBorders>
    </w:tblPr>
    <w:tcPr>
      <w:tcBorders/>
    </w:tcPr>
    <w:tblStylePr w:type="band1Horz">
      <w:rPr>
        <w:color w:val="664f84" w:themeColor="accent4" w:themeTint="9A" w:themeShade="95"/>
        <w:sz w:val="22"/>
      </w:rPr>
      <w:pPr>
        <w:pBdr/>
        <w:spacing/>
        <w:ind/>
      </w:pPr>
      <w:tblPr>
        <w:tblBorders/>
      </w:tblPr>
      <w:tcPr>
        <w:shd w:val="clear" w:color="dfd8e7" w:fill="dfd8e7" w:themeFill="accent4" w:themeFillTint="40"/>
        <w:tcBorders/>
      </w:tcPr>
    </w:tblStylePr>
    <w:tblStylePr w:type="band1Vert">
      <w:pPr>
        <w:pBdr/>
        <w:spacing/>
        <w:ind/>
      </w:pPr>
      <w:tblPr>
        <w:tblBorders/>
      </w:tblPr>
      <w:tcPr>
        <w:shd w:val="clear" w:color="dfd8e7" w:fill="dfd8e7" w:themeFill="accent4" w:themeFillTint="40"/>
        <w:tcBorders/>
      </w:tcPr>
    </w:tblStylePr>
    <w:tblStylePr w:type="band2Horz">
      <w:rPr>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64f84"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sz="4" w:space="0"/>
        </w:tcBorders>
      </w:tcPr>
    </w:tblStylePr>
    <w:tblStylePr w:type="firstRow">
      <w:rPr>
        <w:i/>
        <w:color w:val="664f84" w:themeColor="accent4" w:themeTint="9A" w:themeShade="95"/>
        <w:sz w:val="22"/>
      </w:rPr>
      <w:pPr>
        <w:pBdr/>
        <w:spacing/>
        <w:ind/>
      </w:pPr>
      <w:tblPr>
        <w:tblBorders/>
      </w:tblPr>
      <w:tcPr>
        <w:shd w:val="clear" w:color="ffffff" w:fill="ffffff" w:themeFill="light1"/>
        <w:tcBorders>
          <w:top w:val="none" w:color="000000" w:sz="0" w:space="0"/>
          <w:left w:val="none" w:color="000000" w:sz="0" w:space="0"/>
          <w:bottom w:val="single" w:color="b2a1c6" w:themeColor="accent4" w:sz="4" w:space="0"/>
          <w:right w:val="none" w:color="000000" w:sz="0" w:space="0"/>
        </w:tcBorders>
      </w:tcPr>
    </w:tblStylePr>
    <w:tblStylePr w:type="lastCol">
      <w:rPr>
        <w:i/>
        <w:color w:val="664f84" w:themeColor="accent4" w:themeTint="9A" w:themeShade="95"/>
        <w:sz w:val="22"/>
      </w:rPr>
      <w:pPr>
        <w:pBdr/>
        <w:spacing/>
        <w:ind/>
      </w:pPr>
      <w:tblPr>
        <w:tblBorders/>
      </w:tblPr>
      <w:tcPr>
        <w:shd w:val="clear" w:color="ffffff" w:fill="auto"/>
        <w:tcBorders>
          <w:top w:val="none" w:color="000000" w:sz="0" w:space="0"/>
          <w:left w:val="single" w:color="b2a1c6" w:themeColor="accent4" w:sz="4" w:space="0"/>
          <w:bottom w:val="none" w:color="000000" w:sz="0" w:space="0"/>
          <w:right w:val="none" w:color="000000" w:sz="0" w:space="0"/>
        </w:tcBorders>
      </w:tcPr>
    </w:tblStylePr>
    <w:tblStylePr w:type="lastRow">
      <w:rPr>
        <w:i/>
        <w:color w:val="664f84" w:themeColor="accent4" w:themeTint="9A" w:themeShade="95"/>
        <w:sz w:val="22"/>
      </w:rPr>
      <w:pPr>
        <w:pBdr/>
        <w:spacing/>
        <w:ind/>
      </w:pPr>
      <w:tblPr>
        <w:tblBorders/>
      </w:tblPr>
      <w:tcPr>
        <w:shd w:val="clear" w:color="ffffff" w:fill="ffffff" w:themeFill="light1"/>
        <w:tcBorders>
          <w:top w:val="single" w:color="b2a1c6" w:themeColor="accent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7" w:customStyle="1">
    <w:name w:val="List Table 7 Colorful - Accent 5"/>
    <w:basedOn w:val="1153"/>
    <w:uiPriority w:val="99"/>
    <w:pPr>
      <w:pBdr/>
      <w:spacing/>
      <w:ind/>
    </w:pPr>
    <w:tblPr>
      <w:tblStyleRowBandSize w:val="1"/>
      <w:tblStyleColBandSize w:val="1"/>
      <w:tblBorders>
        <w:right w:val="single" w:color="92ccdc" w:themeColor="accent5" w:themeTint="9A" w:sz="4" w:space="0"/>
      </w:tblBorders>
    </w:tblPr>
    <w:tcPr>
      <w:tcBorders/>
    </w:tcPr>
    <w:tblStylePr w:type="band1Horz">
      <w:rPr>
        <w:color w:val="338ba3" w:themeColor="accent5" w:themeTint="9A" w:themeShade="95"/>
        <w:sz w:val="22"/>
      </w:rPr>
      <w:pPr>
        <w:pBdr/>
        <w:spacing/>
        <w:ind/>
      </w:pPr>
      <w:tblPr>
        <w:tblBorders/>
      </w:tblPr>
      <w:tcPr>
        <w:shd w:val="clear" w:color="d1eaf0" w:fill="d1eaf0" w:themeFill="accent5" w:themeFillTint="40"/>
        <w:tcBorders/>
      </w:tcPr>
    </w:tblStylePr>
    <w:tblStylePr w:type="band1Vert">
      <w:pPr>
        <w:pBdr/>
        <w:spacing/>
        <w:ind/>
      </w:pPr>
      <w:tblPr>
        <w:tblBorders/>
      </w:tblPr>
      <w:tcPr>
        <w:shd w:val="clear" w:color="d1eaf0" w:fill="d1eaf0" w:themeFill="accent5" w:themeFillTint="40"/>
        <w:tcBorders/>
      </w:tcPr>
    </w:tblStylePr>
    <w:tblStylePr w:type="band2Horz">
      <w:rPr>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38ba3"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2ccdc" w:themeColor="accent5" w:sz="4" w:space="0"/>
        </w:tcBorders>
      </w:tcPr>
    </w:tblStylePr>
    <w:tblStylePr w:type="firstRow">
      <w:rPr>
        <w:i/>
        <w:color w:val="338ba3" w:themeColor="accent5" w:themeTint="9A" w:themeShade="95"/>
        <w:sz w:val="22"/>
      </w:rPr>
      <w:pPr>
        <w:pBdr/>
        <w:spacing/>
        <w:ind/>
      </w:pPr>
      <w:tblPr>
        <w:tblBorders/>
      </w:tblPr>
      <w:tcPr>
        <w:shd w:val="clear" w:color="ffffff" w:fill="ffffff" w:themeFill="light1"/>
        <w:tcBorders>
          <w:top w:val="none" w:color="000000" w:sz="0" w:space="0"/>
          <w:left w:val="none" w:color="000000" w:sz="0" w:space="0"/>
          <w:bottom w:val="single" w:color="92ccdc" w:themeColor="accent5" w:sz="4" w:space="0"/>
          <w:right w:val="none" w:color="000000" w:sz="0" w:space="0"/>
        </w:tcBorders>
      </w:tcPr>
    </w:tblStylePr>
    <w:tblStylePr w:type="lastCol">
      <w:rPr>
        <w:i/>
        <w:color w:val="338ba3" w:themeColor="accent5" w:themeTint="9A" w:themeShade="95"/>
        <w:sz w:val="22"/>
      </w:rPr>
      <w:pPr>
        <w:pBdr/>
        <w:spacing/>
        <w:ind/>
      </w:pPr>
      <w:tblPr>
        <w:tblBorders/>
      </w:tblPr>
      <w:tcPr>
        <w:shd w:val="clear" w:color="ffffff" w:fill="auto"/>
        <w:tcBorders>
          <w:top w:val="none" w:color="000000" w:sz="0" w:space="0"/>
          <w:left w:val="single" w:color="92ccdc" w:themeColor="accent5" w:sz="4" w:space="0"/>
          <w:bottom w:val="none" w:color="000000" w:sz="0" w:space="0"/>
          <w:right w:val="none" w:color="000000" w:sz="0" w:space="0"/>
        </w:tcBorders>
      </w:tcPr>
    </w:tblStylePr>
    <w:tblStylePr w:type="lastRow">
      <w:rPr>
        <w:i/>
        <w:color w:val="338ba3" w:themeColor="accent5" w:themeTint="9A" w:themeShade="95"/>
        <w:sz w:val="22"/>
      </w:rPr>
      <w:pPr>
        <w:pBdr/>
        <w:spacing/>
        <w:ind/>
      </w:pPr>
      <w:tblPr>
        <w:tblBorders/>
      </w:tblPr>
      <w:tcPr>
        <w:shd w:val="clear" w:color="ffffff" w:fill="ffffff" w:themeFill="light1"/>
        <w:tcBorders>
          <w:top w:val="single" w:color="92ccdc" w:themeColor="accent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8" w:customStyle="1">
    <w:name w:val="List Table 7 Colorful - Accent 6"/>
    <w:basedOn w:val="1153"/>
    <w:uiPriority w:val="99"/>
    <w:pPr>
      <w:pBdr/>
      <w:spacing/>
      <w:ind/>
    </w:pPr>
    <w:tblPr>
      <w:tblStyleRowBandSize w:val="1"/>
      <w:tblStyleColBandSize w:val="1"/>
      <w:tblBorders>
        <w:right w:val="single" w:color="fac090" w:themeColor="accent6" w:themeTint="98" w:sz="4" w:space="0"/>
      </w:tblBorders>
    </w:tblPr>
    <w:tcPr>
      <w:tcBorders/>
    </w:tcPr>
    <w:tblStylePr w:type="band1Horz">
      <w:rPr>
        <w:color w:val="dd680a" w:themeColor="accent6" w:themeTint="98" w:themeShade="95"/>
        <w:sz w:val="22"/>
      </w:rPr>
      <w:pPr>
        <w:pBdr/>
        <w:spacing/>
        <w:ind/>
      </w:pPr>
      <w:tblPr>
        <w:tblBorders/>
      </w:tblPr>
      <w:tcPr>
        <w:shd w:val="clear" w:color="fde4d0" w:fill="fde4d0" w:themeFill="accent6" w:themeFillTint="40"/>
        <w:tcBorders/>
      </w:tcPr>
    </w:tblStylePr>
    <w:tblStylePr w:type="band1Vert">
      <w:pPr>
        <w:pBdr/>
        <w:spacing/>
        <w:ind/>
      </w:pPr>
      <w:tblPr>
        <w:tblBorders/>
      </w:tblPr>
      <w:tcPr>
        <w:shd w:val="clear" w:color="fde4d0" w:fill="fde4d0" w:themeFill="accent6" w:themeFillTint="40"/>
        <w:tcBorders/>
      </w:tcPr>
    </w:tblStylePr>
    <w:tblStylePr w:type="band2Horz">
      <w:rPr>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d680a"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090" w:themeColor="accent6" w:sz="4" w:space="0"/>
        </w:tcBorders>
      </w:tcPr>
    </w:tblStylePr>
    <w:tblStylePr w:type="firstRow">
      <w:rPr>
        <w:i/>
        <w:color w:val="dd680a" w:themeColor="accent6" w:themeTint="98" w:themeShade="95"/>
        <w:sz w:val="22"/>
      </w:rPr>
      <w:pPr>
        <w:pBdr/>
        <w:spacing/>
        <w:ind/>
      </w:pPr>
      <w:tblPr>
        <w:tblBorders/>
      </w:tblPr>
      <w:tcPr>
        <w:shd w:val="clear" w:color="ffffff" w:fill="ffffff" w:themeFill="light1"/>
        <w:tcBorders>
          <w:top w:val="none" w:color="000000" w:sz="0" w:space="0"/>
          <w:left w:val="none" w:color="000000" w:sz="0" w:space="0"/>
          <w:bottom w:val="single" w:color="fac090" w:themeColor="accent6" w:sz="4" w:space="0"/>
          <w:right w:val="none" w:color="000000" w:sz="0" w:space="0"/>
        </w:tcBorders>
      </w:tcPr>
    </w:tblStylePr>
    <w:tblStylePr w:type="lastCol">
      <w:rPr>
        <w:i/>
        <w:color w:val="dd680a" w:themeColor="accent6" w:themeTint="98" w:themeShade="95"/>
        <w:sz w:val="22"/>
      </w:rPr>
      <w:pPr>
        <w:pBdr/>
        <w:spacing/>
        <w:ind/>
      </w:pPr>
      <w:tblPr>
        <w:tblBorders/>
      </w:tblPr>
      <w:tcPr>
        <w:shd w:val="clear" w:color="ffffff" w:fill="auto"/>
        <w:tcBorders>
          <w:top w:val="none" w:color="000000" w:sz="0" w:space="0"/>
          <w:left w:val="single" w:color="fac090" w:themeColor="accent6" w:sz="4" w:space="0"/>
          <w:bottom w:val="none" w:color="000000" w:sz="0" w:space="0"/>
          <w:right w:val="none" w:color="000000" w:sz="0" w:space="0"/>
        </w:tcBorders>
      </w:tcPr>
    </w:tblStylePr>
    <w:tblStylePr w:type="lastRow">
      <w:rPr>
        <w:i/>
        <w:color w:val="dd680a" w:themeColor="accent6" w:themeTint="98" w:themeShade="95"/>
        <w:sz w:val="22"/>
      </w:rPr>
      <w:pPr>
        <w:pBdr/>
        <w:spacing/>
        <w:ind/>
      </w:pPr>
      <w:tblPr>
        <w:tblBorders/>
      </w:tblPr>
      <w:tcPr>
        <w:shd w:val="clear" w:color="ffffff" w:fill="ffffff" w:themeFill="light1"/>
        <w:tcBorders>
          <w:top w:val="single" w:color="fac090" w:themeColor="accent6"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9" w:customStyle="1">
    <w:name w:val="Lined - Accent"/>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f2f2" w:fill="f2f2f2" w:themeFill="text1" w:themeFillTint="00"/>
        <w:tcBorders/>
      </w:tcPr>
    </w:tblStylePr>
    <w:tblStylePr w:type="band2Vert">
      <w:rPr>
        <w:sz w:val="22"/>
      </w:rPr>
      <w:pPr>
        <w:pBdr/>
        <w:spacing/>
        <w:ind/>
      </w:pPr>
      <w:tblPr>
        <w:tblBorders/>
      </w:tblPr>
      <w:tcPr>
        <w:shd w:val="clear" w:color="f2f2f2" w:fill="f2f2f2" w:themeFill="text1" w:themeFillTint="00"/>
        <w:tcBorders/>
      </w:tcPr>
    </w:tblStylePr>
    <w:tblStylePr w:type="firstCol">
      <w:rPr>
        <w:sz w:val="22"/>
      </w:rPr>
      <w:pPr>
        <w:pBdr/>
        <w:spacing/>
        <w:ind/>
      </w:pPr>
      <w:tblPr>
        <w:tblBorders/>
      </w:tblPr>
      <w:tcPr>
        <w:shd w:val="clear" w:color="7f7f7f" w:fill="7f7f7f" w:themeFill="text1" w:themeFillTint="80"/>
        <w:tcBorders/>
      </w:tcPr>
    </w:tblStylePr>
    <w:tblStylePr w:type="firstRow">
      <w:rPr>
        <w:sz w:val="22"/>
      </w:rPr>
      <w:pPr>
        <w:pBdr/>
        <w:spacing/>
        <w:ind/>
      </w:pPr>
      <w:tblPr>
        <w:tblBorders/>
      </w:tblPr>
      <w:tcPr>
        <w:shd w:val="clear" w:color="7f7f7f" w:fill="7f7f7f" w:themeFill="text1" w:themeFillTint="80"/>
        <w:tcBorders/>
      </w:tcPr>
    </w:tblStylePr>
    <w:tblStylePr w:type="lastCol">
      <w:rPr>
        <w:sz w:val="22"/>
      </w:rPr>
      <w:pPr>
        <w:pBdr/>
        <w:spacing/>
        <w:ind/>
      </w:pPr>
      <w:tblPr>
        <w:tblBorders/>
      </w:tblPr>
      <w:tcPr>
        <w:shd w:val="clear" w:color="7f7f7f" w:fill="7f7f7f" w:themeFill="text1" w:themeFillTint="80"/>
        <w:tcBorders/>
      </w:tcPr>
    </w:tblStylePr>
    <w:tblStylePr w:type="lastRow">
      <w:rPr>
        <w:sz w:val="22"/>
      </w:rPr>
      <w:pPr>
        <w:pBdr/>
        <w:spacing/>
        <w:ind/>
      </w:pPr>
      <w:tblPr>
        <w:tblBorders/>
      </w:tblPr>
      <w:tcPr>
        <w:shd w:val="clear" w:color="7f7f7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0" w:customStyle="1">
    <w:name w:val="Lined - Accent 1"/>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c7d7ea" w:fill="c7d7ea" w:themeFill="accent1" w:themeFillTint="50"/>
        <w:tcBorders/>
      </w:tcPr>
    </w:tblStylePr>
    <w:tblStylePr w:type="band2Vert">
      <w:rPr>
        <w:sz w:val="22"/>
      </w:rPr>
      <w:pPr>
        <w:pBdr/>
        <w:spacing/>
        <w:ind/>
      </w:pPr>
      <w:tblPr>
        <w:tblBorders/>
      </w:tblPr>
      <w:tcPr>
        <w:shd w:val="clear" w:color="c7d7ea" w:fill="c7d7ea" w:themeFill="accent1" w:themeFillTint="50"/>
        <w:tcBorders/>
      </w:tcPr>
    </w:tblStylePr>
    <w:tblStylePr w:type="firstCol">
      <w:rPr>
        <w:sz w:val="22"/>
      </w:rPr>
      <w:pPr>
        <w:pBdr/>
        <w:spacing/>
        <w:ind/>
      </w:pPr>
      <w:tblPr>
        <w:tblBorders/>
      </w:tblPr>
      <w:tcPr>
        <w:shd w:val="clear" w:color="5d8ac2" w:fill="5d8ac2" w:themeFill="accent1" w:themeFillTint="EA"/>
        <w:tcBorders/>
      </w:tcPr>
    </w:tblStylePr>
    <w:tblStylePr w:type="firstRow">
      <w:rPr>
        <w:sz w:val="22"/>
      </w:rPr>
      <w:pPr>
        <w:pBdr/>
        <w:spacing/>
        <w:ind/>
      </w:pPr>
      <w:tblPr>
        <w:tblBorders/>
      </w:tblPr>
      <w:tcPr>
        <w:shd w:val="clear" w:color="5d8ac2" w:fill="5d8ac2" w:themeFill="accent1" w:themeFillTint="EA"/>
        <w:tcBorders/>
      </w:tcPr>
    </w:tblStylePr>
    <w:tblStylePr w:type="lastCol">
      <w:rPr>
        <w:sz w:val="22"/>
      </w:rPr>
      <w:pPr>
        <w:pBdr/>
        <w:spacing/>
        <w:ind/>
      </w:pPr>
      <w:tblPr>
        <w:tblBorders/>
      </w:tblPr>
      <w:tcPr>
        <w:shd w:val="clear" w:color="5d8ac2" w:fill="5d8ac2" w:themeFill="accent1" w:themeFillTint="EA"/>
        <w:tcBorders/>
      </w:tcPr>
    </w:tblStylePr>
    <w:tblStylePr w:type="lastRow">
      <w:rPr>
        <w:sz w:val="22"/>
      </w:rPr>
      <w:pPr>
        <w:pBdr/>
        <w:spacing/>
        <w:ind/>
      </w:pPr>
      <w:tblPr>
        <w:tblBorders/>
      </w:tblPr>
      <w:tcPr>
        <w:shd w:val="clear" w:color="5d8ac2"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1" w:customStyle="1">
    <w:name w:val="Lined - Accent 2"/>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dcdc" w:fill="f2dcdc" w:themeFill="accent2" w:themeFillTint="32"/>
        <w:tcBorders/>
      </w:tcPr>
    </w:tblStylePr>
    <w:tblStylePr w:type="band2Vert">
      <w:rPr>
        <w:sz w:val="22"/>
      </w:rPr>
      <w:pPr>
        <w:pBdr/>
        <w:spacing/>
        <w:ind/>
      </w:pPr>
      <w:tblPr>
        <w:tblBorders/>
      </w:tblPr>
      <w:tcPr>
        <w:shd w:val="clear" w:color="f2dcdc" w:fill="f2dcdc" w:themeFill="accent2" w:themeFillTint="32"/>
        <w:tcBorders/>
      </w:tcPr>
    </w:tblStylePr>
    <w:tblStylePr w:type="firstCol">
      <w:rPr>
        <w:sz w:val="22"/>
      </w:rPr>
      <w:pPr>
        <w:pBdr/>
        <w:spacing/>
        <w:ind/>
      </w:pPr>
      <w:tblPr>
        <w:tblBorders/>
      </w:tblPr>
      <w:tcPr>
        <w:shd w:val="clear" w:color="d99695" w:fill="d99695" w:themeFill="accent2" w:themeFillTint="97"/>
        <w:tcBorders/>
      </w:tcPr>
    </w:tblStylePr>
    <w:tblStylePr w:type="firstRow">
      <w:rPr>
        <w:sz w:val="22"/>
      </w:rPr>
      <w:pPr>
        <w:pBdr/>
        <w:spacing/>
        <w:ind/>
      </w:pPr>
      <w:tblPr>
        <w:tblBorders/>
      </w:tblPr>
      <w:tcPr>
        <w:shd w:val="clear" w:color="d99695" w:fill="d99695" w:themeFill="accent2" w:themeFillTint="97"/>
        <w:tcBorders/>
      </w:tcPr>
    </w:tblStylePr>
    <w:tblStylePr w:type="lastCol">
      <w:rPr>
        <w:sz w:val="22"/>
      </w:rPr>
      <w:pPr>
        <w:pBdr/>
        <w:spacing/>
        <w:ind/>
      </w:pPr>
      <w:tblPr>
        <w:tblBorders/>
      </w:tblPr>
      <w:tcPr>
        <w:shd w:val="clear" w:color="d99695" w:fill="d99695" w:themeFill="accent2" w:themeFillTint="97"/>
        <w:tcBorders/>
      </w:tcPr>
    </w:tblStylePr>
    <w:tblStylePr w:type="lastRow">
      <w:rPr>
        <w:sz w:val="22"/>
      </w:rPr>
      <w:pPr>
        <w:pBdr/>
        <w:spacing/>
        <w:ind/>
      </w:pPr>
      <w:tblPr>
        <w:tblBorders/>
      </w:tblPr>
      <w:tcPr>
        <w:shd w:val="clear" w:color="d99695"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2" w:customStyle="1">
    <w:name w:val="Lined - Accent 3"/>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af1dc" w:fill="eaf1dc" w:themeFill="accent3" w:themeFillTint="34"/>
        <w:tcBorders/>
      </w:tcPr>
    </w:tblStylePr>
    <w:tblStylePr w:type="band2Vert">
      <w:rPr>
        <w:sz w:val="22"/>
      </w:rPr>
      <w:pPr>
        <w:pBdr/>
        <w:spacing/>
        <w:ind/>
      </w:pPr>
      <w:tblPr>
        <w:tblBorders/>
      </w:tblPr>
      <w:tcPr>
        <w:shd w:val="clear" w:color="eaf1dc" w:fill="eaf1dc" w:themeFill="accent3" w:themeFillTint="34"/>
        <w:tcBorders/>
      </w:tcPr>
    </w:tblStylePr>
    <w:tblStylePr w:type="firstCol">
      <w:rPr>
        <w:sz w:val="22"/>
      </w:rPr>
      <w:pPr>
        <w:pBdr/>
        <w:spacing/>
        <w:ind/>
      </w:pPr>
      <w:tblPr>
        <w:tblBorders/>
      </w:tblPr>
      <w:tcPr>
        <w:shd w:val="clear" w:color="9abb59" w:fill="9abb59" w:themeFill="accent3" w:themeFillTint="FE"/>
        <w:tcBorders/>
      </w:tcPr>
    </w:tblStylePr>
    <w:tblStylePr w:type="firstRow">
      <w:rPr>
        <w:sz w:val="22"/>
      </w:rPr>
      <w:pPr>
        <w:pBdr/>
        <w:spacing/>
        <w:ind/>
      </w:pPr>
      <w:tblPr>
        <w:tblBorders/>
      </w:tblPr>
      <w:tcPr>
        <w:shd w:val="clear" w:color="9abb59" w:fill="9abb59" w:themeFill="accent3" w:themeFillTint="FE"/>
        <w:tcBorders/>
      </w:tcPr>
    </w:tblStylePr>
    <w:tblStylePr w:type="lastCol">
      <w:rPr>
        <w:sz w:val="22"/>
      </w:rPr>
      <w:pPr>
        <w:pBdr/>
        <w:spacing/>
        <w:ind/>
      </w:pPr>
      <w:tblPr>
        <w:tblBorders/>
      </w:tblPr>
      <w:tcPr>
        <w:shd w:val="clear" w:color="9abb59" w:fill="9abb59" w:themeFill="accent3" w:themeFillTint="FE"/>
        <w:tcBorders/>
      </w:tcPr>
    </w:tblStylePr>
    <w:tblStylePr w:type="lastRow">
      <w:rPr>
        <w:sz w:val="22"/>
      </w:rPr>
      <w:pPr>
        <w:pBdr/>
        <w:spacing/>
        <w:ind/>
      </w:pPr>
      <w:tblPr>
        <w:tblBorders/>
      </w:tblPr>
      <w:tcPr>
        <w:shd w:val="clear" w:color="9abb59"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3" w:customStyle="1">
    <w:name w:val="Lined - Accent 4"/>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5dfec" w:fill="e5dfec" w:themeFill="accent4" w:themeFillTint="34"/>
        <w:tcBorders/>
      </w:tcPr>
    </w:tblStylePr>
    <w:tblStylePr w:type="band2Vert">
      <w:rPr>
        <w:sz w:val="22"/>
      </w:rPr>
      <w:pPr>
        <w:pBdr/>
        <w:spacing/>
        <w:ind/>
      </w:pPr>
      <w:tblPr>
        <w:tblBorders/>
      </w:tblPr>
      <w:tcPr>
        <w:shd w:val="clear" w:color="e5dfec" w:fill="e5dfec" w:themeFill="accent4" w:themeFillTint="34"/>
        <w:tcBorders/>
      </w:tcPr>
    </w:tblStylePr>
    <w:tblStylePr w:type="firstCol">
      <w:rPr>
        <w:sz w:val="22"/>
      </w:rPr>
      <w:pPr>
        <w:pBdr/>
        <w:spacing/>
        <w:ind/>
      </w:pPr>
      <w:tblPr>
        <w:tblBorders/>
      </w:tblPr>
      <w:tcPr>
        <w:shd w:val="clear" w:color="b2a1c6" w:fill="b2a1c6" w:themeFill="accent4" w:themeFillTint="9A"/>
        <w:tcBorders/>
      </w:tcPr>
    </w:tblStylePr>
    <w:tblStylePr w:type="firstRow">
      <w:rPr>
        <w:sz w:val="22"/>
      </w:rPr>
      <w:pPr>
        <w:pBdr/>
        <w:spacing/>
        <w:ind/>
      </w:pPr>
      <w:tblPr>
        <w:tblBorders/>
      </w:tblPr>
      <w:tcPr>
        <w:shd w:val="clear" w:color="b2a1c6" w:fill="b2a1c6" w:themeFill="accent4" w:themeFillTint="9A"/>
        <w:tcBorders/>
      </w:tcPr>
    </w:tblStylePr>
    <w:tblStylePr w:type="lastCol">
      <w:rPr>
        <w:sz w:val="22"/>
      </w:rPr>
      <w:pPr>
        <w:pBdr/>
        <w:spacing/>
        <w:ind/>
      </w:pPr>
      <w:tblPr>
        <w:tblBorders/>
      </w:tblPr>
      <w:tcPr>
        <w:shd w:val="clear" w:color="b2a1c6" w:fill="b2a1c6" w:themeFill="accent4" w:themeFillTint="9A"/>
        <w:tcBorders/>
      </w:tcPr>
    </w:tblStylePr>
    <w:tblStylePr w:type="lastRow">
      <w:rPr>
        <w:sz w:val="22"/>
      </w:rPr>
      <w:pPr>
        <w:pBdr/>
        <w:spacing/>
        <w:ind/>
      </w:pPr>
      <w:tblPr>
        <w:tblBorders/>
      </w:tblPr>
      <w:tcPr>
        <w:shd w:val="clear" w:color="b2a1c6"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4" w:customStyle="1">
    <w:name w:val="Lined - Accent 5"/>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daeef3" w:fill="daeef3" w:themeFill="accent5" w:themeFillTint="34"/>
        <w:tcBorders/>
      </w:tcPr>
    </w:tblStylePr>
    <w:tblStylePr w:type="band2Vert">
      <w:rPr>
        <w:sz w:val="22"/>
      </w:rPr>
      <w:pPr>
        <w:pBdr/>
        <w:spacing/>
        <w:ind/>
      </w:pPr>
      <w:tblPr>
        <w:tblBorders/>
      </w:tblPr>
      <w:tcPr>
        <w:shd w:val="clear" w:color="daeef3" w:fill="daeef3" w:themeFill="accent5" w:themeFillTint="34"/>
        <w:tcBorders/>
      </w:tcPr>
    </w:tblStylePr>
    <w:tblStylePr w:type="firstCol">
      <w:rPr>
        <w:sz w:val="22"/>
      </w:rPr>
      <w:pPr>
        <w:pBdr/>
        <w:spacing/>
        <w:ind/>
      </w:pPr>
      <w:tblPr>
        <w:tblBorders/>
      </w:tblPr>
      <w:tcPr>
        <w:shd w:val="clear" w:color="4bacc6" w:fill="4bacc6" w:themeFill="accent5"/>
        <w:tcBorders/>
      </w:tcPr>
    </w:tblStylePr>
    <w:tblStylePr w:type="firstRow">
      <w:rPr>
        <w:sz w:val="22"/>
      </w:rPr>
      <w:pPr>
        <w:pBdr/>
        <w:spacing/>
        <w:ind/>
      </w:pPr>
      <w:tblPr>
        <w:tblBorders/>
      </w:tblPr>
      <w:tcPr>
        <w:shd w:val="clear" w:color="4bacc6" w:fill="4bacc6" w:themeFill="accent5"/>
        <w:tcBorders/>
      </w:tcPr>
    </w:tblStylePr>
    <w:tblStylePr w:type="lastCol">
      <w:rPr>
        <w:sz w:val="22"/>
      </w:rPr>
      <w:pPr>
        <w:pBdr/>
        <w:spacing/>
        <w:ind/>
      </w:pPr>
      <w:tblPr>
        <w:tblBorders/>
      </w:tblPr>
      <w:tcPr>
        <w:shd w:val="clear" w:color="4bacc6" w:fill="4bacc6" w:themeFill="accent5"/>
        <w:tcBorders/>
      </w:tcPr>
    </w:tblStylePr>
    <w:tblStylePr w:type="lastRow">
      <w:rPr>
        <w:sz w:val="22"/>
      </w:rPr>
      <w:pPr>
        <w:pBdr/>
        <w:spacing/>
        <w:ind/>
      </w:pPr>
      <w:tblPr>
        <w:tblBorders/>
      </w:tblPr>
      <w:tcPr>
        <w:shd w:val="clear" w:color="4bacc6"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5" w:customStyle="1">
    <w:name w:val="Lined - Accent 6"/>
    <w:basedOn w:val="1153"/>
    <w:uiPriority w:val="99"/>
    <w:pPr>
      <w:pBdr/>
      <w:spacing/>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de9d8" w:fill="fde9d8" w:themeFill="accent6" w:themeFillTint="34"/>
        <w:tcBorders/>
      </w:tcPr>
    </w:tblStylePr>
    <w:tblStylePr w:type="band2Vert">
      <w:rPr>
        <w:sz w:val="22"/>
      </w:rPr>
      <w:pPr>
        <w:pBdr/>
        <w:spacing/>
        <w:ind/>
      </w:pPr>
      <w:tblPr>
        <w:tblBorders/>
      </w:tblPr>
      <w:tcPr>
        <w:shd w:val="clear" w:color="fde9d8" w:fill="fde9d8" w:themeFill="accent6" w:themeFillTint="34"/>
        <w:tcBorders/>
      </w:tcPr>
    </w:tblStylePr>
    <w:tblStylePr w:type="firstCol">
      <w:rPr>
        <w:sz w:val="22"/>
      </w:rPr>
      <w:pPr>
        <w:pBdr/>
        <w:spacing/>
        <w:ind/>
      </w:pPr>
      <w:tblPr>
        <w:tblBorders/>
      </w:tblPr>
      <w:tcPr>
        <w:shd w:val="clear" w:color="f79646" w:fill="f79646" w:themeFill="accent6"/>
        <w:tcBorders/>
      </w:tcPr>
    </w:tblStylePr>
    <w:tblStylePr w:type="firstRow">
      <w:rPr>
        <w:sz w:val="22"/>
      </w:rPr>
      <w:pPr>
        <w:pBdr/>
        <w:spacing/>
        <w:ind/>
      </w:pPr>
      <w:tblPr>
        <w:tblBorders/>
      </w:tblPr>
      <w:tcPr>
        <w:shd w:val="clear" w:color="f79646" w:fill="f79646" w:themeFill="accent6"/>
        <w:tcBorders/>
      </w:tcPr>
    </w:tblStylePr>
    <w:tblStylePr w:type="lastCol">
      <w:rPr>
        <w:sz w:val="22"/>
      </w:rPr>
      <w:pPr>
        <w:pBdr/>
        <w:spacing/>
        <w:ind/>
      </w:pPr>
      <w:tblPr>
        <w:tblBorders/>
      </w:tblPr>
      <w:tcPr>
        <w:shd w:val="clear" w:color="f79646" w:fill="f79646" w:themeFill="accent6"/>
        <w:tcBorders/>
      </w:tcPr>
    </w:tblStylePr>
    <w:tblStylePr w:type="lastRow">
      <w:rPr>
        <w:sz w:val="22"/>
      </w:rPr>
      <w:pPr>
        <w:pBdr/>
        <w:spacing/>
        <w:ind/>
      </w:pPr>
      <w:tblPr>
        <w:tblBorders/>
      </w:tblPr>
      <w:tcPr>
        <w:shd w:val="clear" w:color="f7964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6" w:customStyle="1">
    <w:name w:val="Bordered &amp; Lined - Accent"/>
    <w:basedOn w:val="1153"/>
    <w:uiPriority w:val="99"/>
    <w:pPr>
      <w:pBdr/>
      <w:spacing/>
      <w:ind/>
    </w:p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f2f2" w:fill="f2f2f2" w:themeFill="text1" w:themeFillTint="00"/>
        <w:tcBorders/>
      </w:tcPr>
    </w:tblStylePr>
    <w:tblStylePr w:type="band2Vert">
      <w:rPr>
        <w:sz w:val="22"/>
      </w:rPr>
      <w:pPr>
        <w:pBdr/>
        <w:spacing/>
        <w:ind/>
      </w:pPr>
      <w:tblPr>
        <w:tblBorders/>
      </w:tblPr>
      <w:tcPr>
        <w:shd w:val="clear" w:color="f2f2f2" w:fill="f2f2f2" w:themeFill="text1" w:themeFillTint="00"/>
        <w:tcBorders/>
      </w:tcPr>
    </w:tblStylePr>
    <w:tblStylePr w:type="firstCol">
      <w:rPr>
        <w:sz w:val="22"/>
      </w:rPr>
      <w:pPr>
        <w:pBdr/>
        <w:spacing/>
        <w:ind/>
      </w:pPr>
      <w:tblPr>
        <w:tblBorders/>
      </w:tblPr>
      <w:tcPr>
        <w:shd w:val="clear" w:color="7f7f7f" w:fill="7f7f7f" w:themeFill="text1" w:themeFillTint="80"/>
        <w:tcBorders/>
      </w:tcPr>
    </w:tblStylePr>
    <w:tblStylePr w:type="firstRow">
      <w:rPr>
        <w:sz w:val="22"/>
      </w:rPr>
      <w:pPr>
        <w:pBdr/>
        <w:spacing/>
        <w:ind/>
      </w:pPr>
      <w:tblPr>
        <w:tblBorders/>
      </w:tblPr>
      <w:tcPr>
        <w:shd w:val="clear" w:color="7f7f7f" w:fill="7f7f7f" w:themeFill="text1" w:themeFillTint="80"/>
        <w:tcBorders/>
      </w:tcPr>
    </w:tblStylePr>
    <w:tblStylePr w:type="lastCol">
      <w:rPr>
        <w:sz w:val="22"/>
      </w:rPr>
      <w:pPr>
        <w:pBdr/>
        <w:spacing/>
        <w:ind/>
      </w:pPr>
      <w:tblPr>
        <w:tblBorders/>
      </w:tblPr>
      <w:tcPr>
        <w:shd w:val="clear" w:color="7f7f7f" w:fill="7f7f7f" w:themeFill="text1" w:themeFillTint="80"/>
        <w:tcBorders/>
      </w:tcPr>
    </w:tblStylePr>
    <w:tblStylePr w:type="lastRow">
      <w:rPr>
        <w:sz w:val="22"/>
      </w:rPr>
      <w:pPr>
        <w:pBdr/>
        <w:spacing/>
        <w:ind/>
      </w:pPr>
      <w:tblPr>
        <w:tblBorders/>
      </w:tblPr>
      <w:tcPr>
        <w:shd w:val="clear" w:color="7f7f7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7" w:customStyle="1">
    <w:name w:val="Bordered &amp; Lined - Accent 1"/>
    <w:basedOn w:val="1153"/>
    <w:uiPriority w:val="99"/>
    <w:pPr>
      <w:pBdr/>
      <w:spacing/>
      <w:ind/>
    </w:p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c7d7ea" w:fill="c7d7ea" w:themeFill="accent1" w:themeFillTint="50"/>
        <w:tcBorders/>
      </w:tcPr>
    </w:tblStylePr>
    <w:tblStylePr w:type="band2Vert">
      <w:rPr>
        <w:sz w:val="22"/>
      </w:rPr>
      <w:pPr>
        <w:pBdr/>
        <w:spacing/>
        <w:ind/>
      </w:pPr>
      <w:tblPr>
        <w:tblBorders/>
      </w:tblPr>
      <w:tcPr>
        <w:shd w:val="clear" w:color="c7d7ea" w:fill="c7d7ea" w:themeFill="accent1" w:themeFillTint="50"/>
        <w:tcBorders/>
      </w:tcPr>
    </w:tblStylePr>
    <w:tblStylePr w:type="firstCol">
      <w:rPr>
        <w:sz w:val="22"/>
      </w:rPr>
      <w:pPr>
        <w:pBdr/>
        <w:spacing/>
        <w:ind/>
      </w:pPr>
      <w:tblPr>
        <w:tblBorders/>
      </w:tblPr>
      <w:tcPr>
        <w:shd w:val="clear" w:color="5d8ac2" w:fill="5d8ac2" w:themeFill="accent1" w:themeFillTint="EA"/>
        <w:tcBorders/>
      </w:tcPr>
    </w:tblStylePr>
    <w:tblStylePr w:type="firstRow">
      <w:rPr>
        <w:sz w:val="22"/>
      </w:rPr>
      <w:pPr>
        <w:pBdr/>
        <w:spacing/>
        <w:ind/>
      </w:pPr>
      <w:tblPr>
        <w:tblBorders/>
      </w:tblPr>
      <w:tcPr>
        <w:shd w:val="clear" w:color="5d8ac2" w:fill="5d8ac2" w:themeFill="accent1" w:themeFillTint="EA"/>
        <w:tcBorders/>
      </w:tcPr>
    </w:tblStylePr>
    <w:tblStylePr w:type="lastCol">
      <w:rPr>
        <w:sz w:val="22"/>
      </w:rPr>
      <w:pPr>
        <w:pBdr/>
        <w:spacing/>
        <w:ind/>
      </w:pPr>
      <w:tblPr>
        <w:tblBorders/>
      </w:tblPr>
      <w:tcPr>
        <w:shd w:val="clear" w:color="5d8ac2" w:fill="5d8ac2" w:themeFill="accent1" w:themeFillTint="EA"/>
        <w:tcBorders/>
      </w:tcPr>
    </w:tblStylePr>
    <w:tblStylePr w:type="lastRow">
      <w:rPr>
        <w:sz w:val="22"/>
      </w:rPr>
      <w:pPr>
        <w:pBdr/>
        <w:spacing/>
        <w:ind/>
      </w:pPr>
      <w:tblPr>
        <w:tblBorders/>
      </w:tblPr>
      <w:tcPr>
        <w:shd w:val="clear" w:color="5d8ac2"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8" w:customStyle="1">
    <w:name w:val="Bordered &amp; Lined - Accent 2"/>
    <w:basedOn w:val="1153"/>
    <w:uiPriority w:val="99"/>
    <w:pPr>
      <w:pBdr/>
      <w:spacing/>
      <w:ind/>
    </w:p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dcdc" w:fill="f2dcdc" w:themeFill="accent2" w:themeFillTint="32"/>
        <w:tcBorders/>
      </w:tcPr>
    </w:tblStylePr>
    <w:tblStylePr w:type="band2Vert">
      <w:rPr>
        <w:sz w:val="22"/>
      </w:rPr>
      <w:pPr>
        <w:pBdr/>
        <w:spacing/>
        <w:ind/>
      </w:pPr>
      <w:tblPr>
        <w:tblBorders/>
      </w:tblPr>
      <w:tcPr>
        <w:shd w:val="clear" w:color="f2dcdc" w:fill="f2dcdc" w:themeFill="accent2" w:themeFillTint="32"/>
        <w:tcBorders/>
      </w:tcPr>
    </w:tblStylePr>
    <w:tblStylePr w:type="firstCol">
      <w:rPr>
        <w:sz w:val="22"/>
      </w:rPr>
      <w:pPr>
        <w:pBdr/>
        <w:spacing/>
        <w:ind/>
      </w:pPr>
      <w:tblPr>
        <w:tblBorders/>
      </w:tblPr>
      <w:tcPr>
        <w:shd w:val="clear" w:color="d99695" w:fill="d99695" w:themeFill="accent2" w:themeFillTint="97"/>
        <w:tcBorders/>
      </w:tcPr>
    </w:tblStylePr>
    <w:tblStylePr w:type="firstRow">
      <w:rPr>
        <w:sz w:val="22"/>
      </w:rPr>
      <w:pPr>
        <w:pBdr/>
        <w:spacing/>
        <w:ind/>
      </w:pPr>
      <w:tblPr>
        <w:tblBorders/>
      </w:tblPr>
      <w:tcPr>
        <w:shd w:val="clear" w:color="d99695" w:fill="d99695" w:themeFill="accent2" w:themeFillTint="97"/>
        <w:tcBorders/>
      </w:tcPr>
    </w:tblStylePr>
    <w:tblStylePr w:type="lastCol">
      <w:rPr>
        <w:sz w:val="22"/>
      </w:rPr>
      <w:pPr>
        <w:pBdr/>
        <w:spacing/>
        <w:ind/>
      </w:pPr>
      <w:tblPr>
        <w:tblBorders/>
      </w:tblPr>
      <w:tcPr>
        <w:shd w:val="clear" w:color="d99695" w:fill="d99695" w:themeFill="accent2" w:themeFillTint="97"/>
        <w:tcBorders/>
      </w:tcPr>
    </w:tblStylePr>
    <w:tblStylePr w:type="lastRow">
      <w:rPr>
        <w:sz w:val="22"/>
      </w:rPr>
      <w:pPr>
        <w:pBdr/>
        <w:spacing/>
        <w:ind/>
      </w:pPr>
      <w:tblPr>
        <w:tblBorders/>
      </w:tblPr>
      <w:tcPr>
        <w:shd w:val="clear" w:color="d99695"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9" w:customStyle="1">
    <w:name w:val="Bordered &amp; Lined - Accent 3"/>
    <w:basedOn w:val="1153"/>
    <w:uiPriority w:val="99"/>
    <w:pPr>
      <w:pBdr/>
      <w:spacing/>
      <w:ind/>
    </w:p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af1dc" w:fill="eaf1dc" w:themeFill="accent3" w:themeFillTint="34"/>
        <w:tcBorders/>
      </w:tcPr>
    </w:tblStylePr>
    <w:tblStylePr w:type="band2Vert">
      <w:rPr>
        <w:sz w:val="22"/>
      </w:rPr>
      <w:pPr>
        <w:pBdr/>
        <w:spacing/>
        <w:ind/>
      </w:pPr>
      <w:tblPr>
        <w:tblBorders/>
      </w:tblPr>
      <w:tcPr>
        <w:shd w:val="clear" w:color="eaf1dc" w:fill="eaf1dc" w:themeFill="accent3" w:themeFillTint="34"/>
        <w:tcBorders/>
      </w:tcPr>
    </w:tblStylePr>
    <w:tblStylePr w:type="firstCol">
      <w:rPr>
        <w:sz w:val="22"/>
      </w:rPr>
      <w:pPr>
        <w:pBdr/>
        <w:spacing/>
        <w:ind/>
      </w:pPr>
      <w:tblPr>
        <w:tblBorders/>
      </w:tblPr>
      <w:tcPr>
        <w:shd w:val="clear" w:color="9abb59" w:fill="9abb59" w:themeFill="accent3" w:themeFillTint="FE"/>
        <w:tcBorders/>
      </w:tcPr>
    </w:tblStylePr>
    <w:tblStylePr w:type="firstRow">
      <w:rPr>
        <w:sz w:val="22"/>
      </w:rPr>
      <w:pPr>
        <w:pBdr/>
        <w:spacing/>
        <w:ind/>
      </w:pPr>
      <w:tblPr>
        <w:tblBorders/>
      </w:tblPr>
      <w:tcPr>
        <w:shd w:val="clear" w:color="9abb59" w:fill="9abb59" w:themeFill="accent3" w:themeFillTint="FE"/>
        <w:tcBorders/>
      </w:tcPr>
    </w:tblStylePr>
    <w:tblStylePr w:type="lastCol">
      <w:rPr>
        <w:sz w:val="22"/>
      </w:rPr>
      <w:pPr>
        <w:pBdr/>
        <w:spacing/>
        <w:ind/>
      </w:pPr>
      <w:tblPr>
        <w:tblBorders/>
      </w:tblPr>
      <w:tcPr>
        <w:shd w:val="clear" w:color="9abb59" w:fill="9abb59" w:themeFill="accent3" w:themeFillTint="FE"/>
        <w:tcBorders/>
      </w:tcPr>
    </w:tblStylePr>
    <w:tblStylePr w:type="lastRow">
      <w:rPr>
        <w:sz w:val="22"/>
      </w:rPr>
      <w:pPr>
        <w:pBdr/>
        <w:spacing/>
        <w:ind/>
      </w:pPr>
      <w:tblPr>
        <w:tblBorders/>
      </w:tblPr>
      <w:tcPr>
        <w:shd w:val="clear" w:color="9abb59"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0" w:customStyle="1">
    <w:name w:val="Bordered &amp; Lined - Accent 4"/>
    <w:basedOn w:val="1153"/>
    <w:uiPriority w:val="99"/>
    <w:pPr>
      <w:pBdr/>
      <w:spacing/>
      <w:ind/>
    </w:p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5dfec" w:fill="e5dfec" w:themeFill="accent4" w:themeFillTint="34"/>
        <w:tcBorders/>
      </w:tcPr>
    </w:tblStylePr>
    <w:tblStylePr w:type="band2Vert">
      <w:rPr>
        <w:sz w:val="22"/>
      </w:rPr>
      <w:pPr>
        <w:pBdr/>
        <w:spacing/>
        <w:ind/>
      </w:pPr>
      <w:tblPr>
        <w:tblBorders/>
      </w:tblPr>
      <w:tcPr>
        <w:shd w:val="clear" w:color="e5dfec" w:fill="e5dfec" w:themeFill="accent4" w:themeFillTint="34"/>
        <w:tcBorders/>
      </w:tcPr>
    </w:tblStylePr>
    <w:tblStylePr w:type="firstCol">
      <w:rPr>
        <w:sz w:val="22"/>
      </w:rPr>
      <w:pPr>
        <w:pBdr/>
        <w:spacing/>
        <w:ind/>
      </w:pPr>
      <w:tblPr>
        <w:tblBorders/>
      </w:tblPr>
      <w:tcPr>
        <w:shd w:val="clear" w:color="b2a1c6" w:fill="b2a1c6" w:themeFill="accent4" w:themeFillTint="9A"/>
        <w:tcBorders/>
      </w:tcPr>
    </w:tblStylePr>
    <w:tblStylePr w:type="firstRow">
      <w:rPr>
        <w:sz w:val="22"/>
      </w:rPr>
      <w:pPr>
        <w:pBdr/>
        <w:spacing/>
        <w:ind/>
      </w:pPr>
      <w:tblPr>
        <w:tblBorders/>
      </w:tblPr>
      <w:tcPr>
        <w:shd w:val="clear" w:color="b2a1c6" w:fill="b2a1c6" w:themeFill="accent4" w:themeFillTint="9A"/>
        <w:tcBorders/>
      </w:tcPr>
    </w:tblStylePr>
    <w:tblStylePr w:type="lastCol">
      <w:rPr>
        <w:sz w:val="22"/>
      </w:rPr>
      <w:pPr>
        <w:pBdr/>
        <w:spacing/>
        <w:ind/>
      </w:pPr>
      <w:tblPr>
        <w:tblBorders/>
      </w:tblPr>
      <w:tcPr>
        <w:shd w:val="clear" w:color="b2a1c6" w:fill="b2a1c6" w:themeFill="accent4" w:themeFillTint="9A"/>
        <w:tcBorders/>
      </w:tcPr>
    </w:tblStylePr>
    <w:tblStylePr w:type="lastRow">
      <w:rPr>
        <w:sz w:val="22"/>
      </w:rPr>
      <w:pPr>
        <w:pBdr/>
        <w:spacing/>
        <w:ind/>
      </w:pPr>
      <w:tblPr>
        <w:tblBorders/>
      </w:tblPr>
      <w:tcPr>
        <w:shd w:val="clear" w:color="b2a1c6"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1" w:customStyle="1">
    <w:name w:val="Bordered &amp; Lined - Accent 5"/>
    <w:basedOn w:val="1153"/>
    <w:uiPriority w:val="99"/>
    <w:pPr>
      <w:pBdr/>
      <w:spacing/>
      <w:ind/>
    </w:p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daeef3" w:fill="daeef3" w:themeFill="accent5" w:themeFillTint="34"/>
        <w:tcBorders/>
      </w:tcPr>
    </w:tblStylePr>
    <w:tblStylePr w:type="band2Vert">
      <w:rPr>
        <w:sz w:val="22"/>
      </w:rPr>
      <w:pPr>
        <w:pBdr/>
        <w:spacing/>
        <w:ind/>
      </w:pPr>
      <w:tblPr>
        <w:tblBorders/>
      </w:tblPr>
      <w:tcPr>
        <w:shd w:val="clear" w:color="daeef3" w:fill="daeef3" w:themeFill="accent5" w:themeFillTint="34"/>
        <w:tcBorders/>
      </w:tcPr>
    </w:tblStylePr>
    <w:tblStylePr w:type="firstCol">
      <w:rPr>
        <w:sz w:val="22"/>
      </w:rPr>
      <w:pPr>
        <w:pBdr/>
        <w:spacing/>
        <w:ind/>
      </w:pPr>
      <w:tblPr>
        <w:tblBorders/>
      </w:tblPr>
      <w:tcPr>
        <w:shd w:val="clear" w:color="4bacc6" w:fill="4bacc6" w:themeFill="accent5"/>
        <w:tcBorders/>
      </w:tcPr>
    </w:tblStylePr>
    <w:tblStylePr w:type="firstRow">
      <w:rPr>
        <w:sz w:val="22"/>
      </w:rPr>
      <w:pPr>
        <w:pBdr/>
        <w:spacing/>
        <w:ind/>
      </w:pPr>
      <w:tblPr>
        <w:tblBorders/>
      </w:tblPr>
      <w:tcPr>
        <w:shd w:val="clear" w:color="4bacc6" w:fill="4bacc6" w:themeFill="accent5"/>
        <w:tcBorders/>
      </w:tcPr>
    </w:tblStylePr>
    <w:tblStylePr w:type="lastCol">
      <w:rPr>
        <w:sz w:val="22"/>
      </w:rPr>
      <w:pPr>
        <w:pBdr/>
        <w:spacing/>
        <w:ind/>
      </w:pPr>
      <w:tblPr>
        <w:tblBorders/>
      </w:tblPr>
      <w:tcPr>
        <w:shd w:val="clear" w:color="4bacc6" w:fill="4bacc6" w:themeFill="accent5"/>
        <w:tcBorders/>
      </w:tcPr>
    </w:tblStylePr>
    <w:tblStylePr w:type="lastRow">
      <w:rPr>
        <w:sz w:val="22"/>
      </w:rPr>
      <w:pPr>
        <w:pBdr/>
        <w:spacing/>
        <w:ind/>
      </w:pPr>
      <w:tblPr>
        <w:tblBorders/>
      </w:tblPr>
      <w:tcPr>
        <w:shd w:val="clear" w:color="4bacc6"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2" w:customStyle="1">
    <w:name w:val="Bordered &amp; Lined - Accent 6"/>
    <w:basedOn w:val="1153"/>
    <w:uiPriority w:val="99"/>
    <w:pPr>
      <w:pBdr/>
      <w:spacing/>
      <w:ind/>
    </w:p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de9d8" w:fill="fde9d8" w:themeFill="accent6" w:themeFillTint="34"/>
        <w:tcBorders/>
      </w:tcPr>
    </w:tblStylePr>
    <w:tblStylePr w:type="band2Vert">
      <w:rPr>
        <w:sz w:val="22"/>
      </w:rPr>
      <w:pPr>
        <w:pBdr/>
        <w:spacing/>
        <w:ind/>
      </w:pPr>
      <w:tblPr>
        <w:tblBorders/>
      </w:tblPr>
      <w:tcPr>
        <w:shd w:val="clear" w:color="fde9d8" w:fill="fde9d8" w:themeFill="accent6" w:themeFillTint="34"/>
        <w:tcBorders/>
      </w:tcPr>
    </w:tblStylePr>
    <w:tblStylePr w:type="firstCol">
      <w:rPr>
        <w:sz w:val="22"/>
      </w:rPr>
      <w:pPr>
        <w:pBdr/>
        <w:spacing/>
        <w:ind/>
      </w:pPr>
      <w:tblPr>
        <w:tblBorders/>
      </w:tblPr>
      <w:tcPr>
        <w:shd w:val="clear" w:color="f79646" w:fill="f79646" w:themeFill="accent6"/>
        <w:tcBorders/>
      </w:tcPr>
    </w:tblStylePr>
    <w:tblStylePr w:type="firstRow">
      <w:rPr>
        <w:sz w:val="22"/>
      </w:rPr>
      <w:pPr>
        <w:pBdr/>
        <w:spacing/>
        <w:ind/>
      </w:pPr>
      <w:tblPr>
        <w:tblBorders/>
      </w:tblPr>
      <w:tcPr>
        <w:shd w:val="clear" w:color="f79646" w:fill="f79646" w:themeFill="accent6"/>
        <w:tcBorders/>
      </w:tcPr>
    </w:tblStylePr>
    <w:tblStylePr w:type="lastCol">
      <w:rPr>
        <w:sz w:val="22"/>
      </w:rPr>
      <w:pPr>
        <w:pBdr/>
        <w:spacing/>
        <w:ind/>
      </w:pPr>
      <w:tblPr>
        <w:tblBorders/>
      </w:tblPr>
      <w:tcPr>
        <w:shd w:val="clear" w:color="f79646" w:fill="f79646" w:themeFill="accent6"/>
        <w:tcBorders/>
      </w:tcPr>
    </w:tblStylePr>
    <w:tblStylePr w:type="lastRow">
      <w:rPr>
        <w:sz w:val="22"/>
      </w:rPr>
      <w:pPr>
        <w:pBdr/>
        <w:spacing/>
        <w:ind/>
      </w:pPr>
      <w:tblPr>
        <w:tblBorders/>
      </w:tblPr>
      <w:tcPr>
        <w:shd w:val="clear" w:color="f7964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3" w:customStyle="1">
    <w:name w:val="Bordered"/>
    <w:basedOn w:val="1153"/>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sz w:val="22"/>
      </w:rPr>
      <w:pPr>
        <w:pBdr/>
        <w:spacing/>
        <w:ind/>
      </w:pPr>
      <w:tblPr>
        <w:tblBorders/>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7f7f7f" w:themeColor="text1" w:sz="12" w:space="0"/>
        </w:tcBorders>
      </w:tcPr>
    </w:tblStylePr>
    <w:tblStylePr w:type="lastCol">
      <w:rPr>
        <w:sz w:val="22"/>
      </w:rPr>
      <w:pPr>
        <w:pBdr/>
        <w:spacing/>
        <w:ind/>
      </w:pPr>
      <w:tblPr>
        <w:tblBorders/>
      </w:tblPr>
      <w:tcPr>
        <w:tcBorders>
          <w:left w:val="single" w:color="7f7f7f" w:themeColor="text1" w:sz="12" w:space="0"/>
        </w:tcBorders>
      </w:tcPr>
    </w:tblStylePr>
    <w:tblStylePr w:type="lastRow">
      <w:rPr>
        <w:sz w:val="22"/>
      </w:rPr>
      <w:pPr>
        <w:pBdr/>
        <w:spacing/>
        <w:ind/>
      </w:pPr>
      <w:tblPr>
        <w:tblBorders/>
      </w:tblPr>
      <w:tcPr>
        <w:tcBorders>
          <w:top w:val="single" w:color="7f7f7f"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4" w:customStyle="1">
    <w:name w:val="Bordered - Accent 1"/>
    <w:basedOn w:val="115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sz w:val="22"/>
      </w:rPr>
      <w:pPr>
        <w:pBdr/>
        <w:spacing/>
        <w:ind/>
      </w:pPr>
      <w:tblPr>
        <w:tblBorders/>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4f81bd" w:themeColor="accent1" w:sz="12" w:space="0"/>
        </w:tcBorders>
      </w:tcPr>
    </w:tblStylePr>
    <w:tblStylePr w:type="lastCol">
      <w:rPr>
        <w:sz w:val="22"/>
      </w:rPr>
      <w:pPr>
        <w:pBdr/>
        <w:spacing/>
        <w:ind/>
      </w:pPr>
      <w:tblPr>
        <w:tblBorders/>
      </w:tblPr>
      <w:tcPr>
        <w:tcBorders>
          <w:left w:val="single" w:color="4f81bd" w:themeColor="accent1" w:sz="12" w:space="0"/>
        </w:tcBorders>
      </w:tcPr>
    </w:tblStylePr>
    <w:tblStylePr w:type="lastRow">
      <w:rPr>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5" w:customStyle="1">
    <w:name w:val="Bordered - Accent 2"/>
    <w:basedOn w:val="115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sz w:val="22"/>
      </w:rPr>
      <w:pPr>
        <w:pBdr/>
        <w:spacing/>
        <w:ind/>
      </w:pPr>
      <w:tblPr>
        <w:tblBorders/>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d99695" w:themeColor="accent2" w:sz="12" w:space="0"/>
        </w:tcBorders>
      </w:tcPr>
    </w:tblStylePr>
    <w:tblStylePr w:type="lastCol">
      <w:rPr>
        <w:sz w:val="22"/>
      </w:rPr>
      <w:pPr>
        <w:pBdr/>
        <w:spacing/>
        <w:ind/>
      </w:pPr>
      <w:tblPr>
        <w:tblBorders/>
      </w:tblPr>
      <w:tcPr>
        <w:tcBorders>
          <w:left w:val="single" w:color="d99695" w:themeColor="accent2" w:sz="12" w:space="0"/>
        </w:tcBorders>
      </w:tcPr>
    </w:tblStylePr>
    <w:tblStylePr w:type="lastRow">
      <w:rPr>
        <w:sz w:val="22"/>
      </w:rPr>
      <w:pPr>
        <w:pBdr/>
        <w:spacing/>
        <w:ind/>
      </w:pPr>
      <w:tblPr>
        <w:tblBorders/>
      </w:tblPr>
      <w:tcPr>
        <w:tcBorders>
          <w:top w:val="single" w:color="d99695"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6" w:customStyle="1">
    <w:name w:val="Bordered - Accent 3"/>
    <w:basedOn w:val="115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sz w:val="22"/>
      </w:rPr>
      <w:pPr>
        <w:pBdr/>
        <w:spacing/>
        <w:ind/>
      </w:pPr>
      <w:tblPr>
        <w:tblBorders/>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c3d69b" w:themeColor="accent3" w:sz="12" w:space="0"/>
        </w:tcBorders>
      </w:tcPr>
    </w:tblStylePr>
    <w:tblStylePr w:type="lastCol">
      <w:rPr>
        <w:sz w:val="22"/>
      </w:rPr>
      <w:pPr>
        <w:pBdr/>
        <w:spacing/>
        <w:ind/>
      </w:pPr>
      <w:tblPr>
        <w:tblBorders/>
      </w:tblPr>
      <w:tcPr>
        <w:tcBorders>
          <w:left w:val="single" w:color="c3d69b" w:themeColor="accent3" w:sz="12" w:space="0"/>
        </w:tcBorders>
      </w:tcPr>
    </w:tblStylePr>
    <w:tblStylePr w:type="lastRow">
      <w:rPr>
        <w:sz w:val="22"/>
      </w:rPr>
      <w:pPr>
        <w:pBdr/>
        <w:spacing/>
        <w:ind/>
      </w:pPr>
      <w:tblPr>
        <w:tblBorders/>
      </w:tblPr>
      <w:tcPr>
        <w:tcBorders>
          <w:top w:val="single" w:color="c3d69b"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7" w:customStyle="1">
    <w:name w:val="Bordered - Accent 4"/>
    <w:basedOn w:val="115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sz w:val="22"/>
      </w:rPr>
      <w:pPr>
        <w:pBdr/>
        <w:spacing/>
        <w:ind/>
      </w:pPr>
      <w:tblPr>
        <w:tblBorders/>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b2a1c6" w:themeColor="accent4" w:sz="12" w:space="0"/>
        </w:tcBorders>
      </w:tcPr>
    </w:tblStylePr>
    <w:tblStylePr w:type="lastCol">
      <w:rPr>
        <w:sz w:val="22"/>
      </w:rPr>
      <w:pPr>
        <w:pBdr/>
        <w:spacing/>
        <w:ind/>
      </w:pPr>
      <w:tblPr>
        <w:tblBorders/>
      </w:tblPr>
      <w:tcPr>
        <w:tcBorders>
          <w:left w:val="single" w:color="b2a1c6" w:themeColor="accent4" w:sz="12" w:space="0"/>
        </w:tcBorders>
      </w:tcPr>
    </w:tblStylePr>
    <w:tblStylePr w:type="lastRow">
      <w:rPr>
        <w:sz w:val="22"/>
      </w:rPr>
      <w:pPr>
        <w:pBdr/>
        <w:spacing/>
        <w:ind/>
      </w:pPr>
      <w:tblPr>
        <w:tblBorders/>
      </w:tblPr>
      <w:tcPr>
        <w:tcBorders>
          <w:top w:val="single" w:color="b2a1c6"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8" w:customStyle="1">
    <w:name w:val="Bordered - Accent 5"/>
    <w:basedOn w:val="115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sz w:val="22"/>
      </w:rPr>
      <w:pPr>
        <w:pBdr/>
        <w:spacing/>
        <w:ind/>
      </w:pPr>
      <w:tblPr>
        <w:tblBorders/>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92ccdc" w:themeColor="accent5" w:sz="12" w:space="0"/>
        </w:tcBorders>
      </w:tcPr>
    </w:tblStylePr>
    <w:tblStylePr w:type="lastCol">
      <w:rPr>
        <w:sz w:val="22"/>
      </w:rPr>
      <w:pPr>
        <w:pBdr/>
        <w:spacing/>
        <w:ind/>
      </w:pPr>
      <w:tblPr>
        <w:tblBorders/>
      </w:tblPr>
      <w:tcPr>
        <w:tcBorders>
          <w:left w:val="single" w:color="92ccdc" w:themeColor="accent5" w:sz="12" w:space="0"/>
        </w:tcBorders>
      </w:tcPr>
    </w:tblStylePr>
    <w:tblStylePr w:type="lastRow">
      <w:rPr>
        <w:sz w:val="22"/>
      </w:rPr>
      <w:pPr>
        <w:pBdr/>
        <w:spacing/>
        <w:ind/>
      </w:pPr>
      <w:tblPr>
        <w:tblBorders/>
      </w:tblPr>
      <w:tcPr>
        <w:tcBorders>
          <w:top w:val="single" w:color="92ccdc"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9" w:customStyle="1">
    <w:name w:val="Bordered - Accent 6"/>
    <w:basedOn w:val="115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sz w:val="22"/>
      </w:rPr>
      <w:pPr>
        <w:pBdr/>
        <w:spacing/>
        <w:ind/>
      </w:pPr>
      <w:tblPr>
        <w:tblBorders/>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fac090" w:themeColor="accent6" w:sz="12" w:space="0"/>
        </w:tcBorders>
      </w:tcPr>
    </w:tblStylePr>
    <w:tblStylePr w:type="lastCol">
      <w:rPr>
        <w:sz w:val="22"/>
      </w:rPr>
      <w:pPr>
        <w:pBdr/>
        <w:spacing/>
        <w:ind/>
      </w:pPr>
      <w:tblPr>
        <w:tblBorders/>
      </w:tblPr>
      <w:tcPr>
        <w:tcBorders>
          <w:left w:val="single" w:color="fac090" w:themeColor="accent6" w:sz="12" w:space="0"/>
        </w:tcBorders>
      </w:tcPr>
    </w:tblStylePr>
    <w:tblStylePr w:type="lastRow">
      <w:rPr>
        <w:sz w:val="22"/>
      </w:rPr>
      <w:pPr>
        <w:pBdr/>
        <w:spacing/>
        <w:ind/>
      </w:pPr>
      <w:tblPr>
        <w:tblBorders/>
      </w:tblPr>
      <w:tcPr>
        <w:tcBorders>
          <w:top w:val="single" w:color="fac090"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customXml" Target="../customXml/item2.xml" /><Relationship Id="rId17" Type="http://schemas.openxmlformats.org/officeDocument/2006/relationships/customXml" Target="../customXml/item3.xml" /><Relationship Id="rId18" Type="http://schemas.openxmlformats.org/officeDocument/2006/relationships/customXml" Target="../customXml/item4.xml" /><Relationship Id="rId19" Type="http://schemas.openxmlformats.org/officeDocument/2006/relationships/comments" Target="comments.xml" /><Relationship Id="rId20" Type="http://schemas.microsoft.com/office/2011/relationships/commentsExtended" Target="commentsExtended.xml" /><Relationship Id="rId21" Type="http://schemas.microsoft.com/office/2018/08/relationships/commentsExtensible" Target="commentsExtensible.xml" /><Relationship Id="rId22" Type="http://schemas.microsoft.com/office/2016/09/relationships/commentsIds" Target="commentsIds.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mailto:licitacao@cisru.saude.mg.gov.br" TargetMode="External"/><Relationship Id="rId2" Type="http://schemas.openxmlformats.org/officeDocument/2006/relationships/image" Target="media/image1.jp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hyperlink" Target="mailto:licitacao@cisru.saude.mg.gov.br" TargetMode="External"/><Relationship Id="rId2"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9E34A-84DA-419E-B215-E09D24916CCE}">
  <ds:schemaRefs>
    <ds:schemaRef ds:uri="http://schemas.openxmlformats.org/officeDocument/2006/bibliography"/>
  </ds:schemaRefs>
</ds:datastoreItem>
</file>

<file path=customXml/itemProps2.xml><?xml version="1.0" encoding="utf-8"?>
<ds:datastoreItem xmlns:ds="http://schemas.openxmlformats.org/officeDocument/2006/customXml" ds:itemID="{384269E5-3F4A-46A6-9868-DF427E392CE8}">
  <ds:schemaRefs>
    <ds:schemaRef ds:uri="http://schemas.microsoft.com/sharepoint/v3/contenttype/forms"/>
  </ds:schemaRefs>
</ds:datastoreItem>
</file>

<file path=customXml/itemProps3.xml><?xml version="1.0" encoding="utf-8"?>
<ds:datastoreItem xmlns:ds="http://schemas.openxmlformats.org/officeDocument/2006/customXml" ds:itemID="{2E413F30-1464-43D5-A034-C65A5C7E8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customXml/itemProps4.xml><?xml version="1.0" encoding="utf-8"?>
<ds:datastoreItem xmlns:ds="http://schemas.openxmlformats.org/officeDocument/2006/customXml" ds:itemID="{CAA1BF10-BA21-41FC-B966-68D460302E98}">
  <ds:schemaRefs>
    <ds:schemaRef ds:uri="http://schemas.microsoft.com/office/2006/metadata/properties"/>
    <ds:schemaRef ds:uri="http://schemas.microsoft.com/office/infopath/2007/PartnerControls"/>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pt-BR</dc:language>
  <cp:revision>92</cp:revision>
  <dcterms:created xsi:type="dcterms:W3CDTF">2024-03-21T18:56:00Z</dcterms:created>
  <dcterms:modified xsi:type="dcterms:W3CDTF">2026-05-28T18:37:30Z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